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5FA" w:rsidRDefault="00C255FA" w:rsidP="00C8008A">
      <w:pPr>
        <w:spacing w:before="30" w:after="0"/>
        <w:jc w:val="center"/>
        <w:rPr>
          <w:rFonts w:ascii="Times New Roman" w:hAnsi="Times New Roman"/>
          <w:b/>
          <w:color w:val="000000"/>
          <w:sz w:val="28"/>
          <w:szCs w:val="24"/>
        </w:rPr>
      </w:pPr>
      <w:r w:rsidRPr="00C8008A">
        <w:rPr>
          <w:rFonts w:ascii="Times New Roman" w:hAnsi="Times New Roman"/>
          <w:b/>
          <w:color w:val="000000"/>
          <w:sz w:val="28"/>
          <w:szCs w:val="24"/>
        </w:rPr>
        <w:t>OS MOVIMENTOS SOCIAIS NO CAMPO DA PARAÍBA: A ATUAÇÃO DO MOVIMENTO DOS TRABALHADORES RURAIS SEM TERRA (MST)</w:t>
      </w:r>
    </w:p>
    <w:p w:rsidR="00C255FA" w:rsidRDefault="00C255FA" w:rsidP="00C8008A">
      <w:pPr>
        <w:spacing w:before="30" w:after="0"/>
        <w:jc w:val="right"/>
        <w:rPr>
          <w:rFonts w:ascii="Times New Roman" w:hAnsi="Times New Roman"/>
          <w:b/>
          <w:color w:val="000000"/>
          <w:sz w:val="28"/>
          <w:szCs w:val="24"/>
        </w:rPr>
      </w:pPr>
    </w:p>
    <w:p w:rsidR="00C255FA" w:rsidRDefault="00C255FA" w:rsidP="00C8008A">
      <w:pPr>
        <w:spacing w:before="30" w:after="0"/>
        <w:jc w:val="right"/>
        <w:rPr>
          <w:rFonts w:ascii="Times New Roman" w:hAnsi="Times New Roman"/>
          <w:b/>
          <w:color w:val="000000"/>
          <w:sz w:val="28"/>
          <w:szCs w:val="24"/>
        </w:rPr>
      </w:pPr>
    </w:p>
    <w:p w:rsidR="00C255FA" w:rsidRPr="00C8008A" w:rsidRDefault="00C255FA" w:rsidP="00C8008A">
      <w:pPr>
        <w:spacing w:before="30" w:after="0"/>
        <w:jc w:val="right"/>
        <w:rPr>
          <w:rFonts w:ascii="Times New Roman" w:hAnsi="Times New Roman"/>
          <w:b/>
          <w:color w:val="000000"/>
          <w:sz w:val="24"/>
          <w:szCs w:val="24"/>
        </w:rPr>
      </w:pPr>
      <w:proofErr w:type="spellStart"/>
      <w:r w:rsidRPr="00C8008A">
        <w:rPr>
          <w:rStyle w:val="Forte"/>
          <w:rFonts w:ascii="Times New Roman" w:hAnsi="Times New Roman"/>
          <w:b w:val="0"/>
          <w:bCs/>
          <w:sz w:val="24"/>
          <w:szCs w:val="24"/>
        </w:rPr>
        <w:t>Josilena</w:t>
      </w:r>
      <w:proofErr w:type="spellEnd"/>
      <w:r w:rsidRPr="00C8008A">
        <w:rPr>
          <w:rStyle w:val="Forte"/>
          <w:rFonts w:ascii="Times New Roman" w:hAnsi="Times New Roman"/>
          <w:b w:val="0"/>
          <w:bCs/>
          <w:sz w:val="24"/>
          <w:szCs w:val="24"/>
        </w:rPr>
        <w:t xml:space="preserve"> oliveira </w:t>
      </w:r>
      <w:proofErr w:type="spellStart"/>
      <w:r w:rsidRPr="00C8008A">
        <w:rPr>
          <w:rStyle w:val="Forte"/>
          <w:rFonts w:ascii="Times New Roman" w:hAnsi="Times New Roman"/>
          <w:b w:val="0"/>
          <w:bCs/>
          <w:sz w:val="24"/>
          <w:szCs w:val="24"/>
        </w:rPr>
        <w:t>targino</w:t>
      </w:r>
      <w:proofErr w:type="spellEnd"/>
      <w:r w:rsidRPr="00C8008A">
        <w:rPr>
          <w:rStyle w:val="Forte"/>
          <w:rFonts w:ascii="Times New Roman" w:hAnsi="Times New Roman"/>
          <w:b w:val="0"/>
          <w:bCs/>
          <w:sz w:val="24"/>
          <w:szCs w:val="24"/>
        </w:rPr>
        <w:t xml:space="preserve"> da silva</w:t>
      </w:r>
    </w:p>
    <w:p w:rsidR="00C255FA" w:rsidRDefault="00C255FA" w:rsidP="00766CD4">
      <w:pPr>
        <w:spacing w:before="30" w:after="0"/>
        <w:jc w:val="right"/>
        <w:rPr>
          <w:rFonts w:ascii="Times New Roman" w:hAnsi="Times New Roman"/>
          <w:sz w:val="24"/>
          <w:szCs w:val="24"/>
        </w:rPr>
      </w:pPr>
      <w:r w:rsidRPr="00766CD4">
        <w:rPr>
          <w:rFonts w:ascii="Times New Roman" w:hAnsi="Times New Roman"/>
          <w:color w:val="000000"/>
          <w:sz w:val="24"/>
          <w:szCs w:val="24"/>
        </w:rPr>
        <w:t>Bolsista</w:t>
      </w:r>
      <w:r>
        <w:rPr>
          <w:rFonts w:ascii="Times New Roman" w:hAnsi="Times New Roman"/>
          <w:color w:val="000000"/>
          <w:sz w:val="24"/>
          <w:szCs w:val="24"/>
        </w:rPr>
        <w:t xml:space="preserve"> </w:t>
      </w:r>
      <w:r>
        <w:rPr>
          <w:rFonts w:ascii="Times New Roman" w:hAnsi="Times New Roman"/>
          <w:sz w:val="24"/>
          <w:szCs w:val="24"/>
        </w:rPr>
        <w:t>/ CCEN / Monitoria</w:t>
      </w:r>
    </w:p>
    <w:p w:rsidR="00C255FA" w:rsidRPr="00766CD4" w:rsidRDefault="00C255FA" w:rsidP="00766CD4">
      <w:pPr>
        <w:spacing w:before="30" w:after="0"/>
        <w:jc w:val="right"/>
        <w:rPr>
          <w:rFonts w:ascii="Times New Roman" w:hAnsi="Times New Roman"/>
          <w:color w:val="000000"/>
          <w:sz w:val="24"/>
          <w:szCs w:val="24"/>
        </w:rPr>
      </w:pPr>
    </w:p>
    <w:p w:rsidR="00C255FA" w:rsidRPr="00977B7F" w:rsidRDefault="00C255FA" w:rsidP="00C8008A">
      <w:pPr>
        <w:pStyle w:val="NormalWeb"/>
        <w:shd w:val="clear" w:color="auto" w:fill="FFFFFF"/>
        <w:spacing w:before="30" w:beforeAutospacing="0" w:after="0" w:afterAutospacing="0"/>
        <w:jc w:val="right"/>
        <w:outlineLvl w:val="3"/>
        <w:rPr>
          <w:rStyle w:val="blockemailwithname"/>
        </w:rPr>
      </w:pPr>
      <w:r w:rsidRPr="00977B7F">
        <w:rPr>
          <w:rStyle w:val="blockemailwithname"/>
        </w:rPr>
        <w:t xml:space="preserve">Marco Antonio </w:t>
      </w:r>
      <w:proofErr w:type="spellStart"/>
      <w:r w:rsidRPr="00977B7F">
        <w:rPr>
          <w:rStyle w:val="blockemailwithname"/>
        </w:rPr>
        <w:t>Mitidiero</w:t>
      </w:r>
      <w:proofErr w:type="spellEnd"/>
      <w:r w:rsidRPr="00977B7F">
        <w:rPr>
          <w:rStyle w:val="blockemailwithname"/>
        </w:rPr>
        <w:t xml:space="preserve"> Junior</w:t>
      </w:r>
    </w:p>
    <w:p w:rsidR="00C255FA" w:rsidRDefault="00C255FA" w:rsidP="00C8008A">
      <w:pPr>
        <w:spacing w:before="30" w:after="0"/>
        <w:jc w:val="right"/>
        <w:rPr>
          <w:rFonts w:ascii="Times New Roman" w:hAnsi="Times New Roman"/>
          <w:color w:val="000000"/>
          <w:sz w:val="24"/>
          <w:szCs w:val="24"/>
        </w:rPr>
      </w:pPr>
      <w:r w:rsidRPr="00766CD4">
        <w:rPr>
          <w:rFonts w:ascii="Times New Roman" w:hAnsi="Times New Roman"/>
          <w:color w:val="000000"/>
          <w:sz w:val="24"/>
          <w:szCs w:val="24"/>
        </w:rPr>
        <w:t>Professor</w:t>
      </w:r>
      <w:r>
        <w:rPr>
          <w:rFonts w:ascii="Times New Roman" w:hAnsi="Times New Roman"/>
          <w:color w:val="000000"/>
          <w:sz w:val="24"/>
          <w:szCs w:val="24"/>
        </w:rPr>
        <w:t xml:space="preserve"> Orientador </w:t>
      </w:r>
      <w:r>
        <w:rPr>
          <w:rFonts w:ascii="Times New Roman" w:hAnsi="Times New Roman"/>
          <w:sz w:val="24"/>
          <w:szCs w:val="24"/>
        </w:rPr>
        <w:t>/ CCEN / Monitoria</w:t>
      </w:r>
    </w:p>
    <w:p w:rsidR="00C255FA" w:rsidRDefault="00C255FA" w:rsidP="00C8008A">
      <w:pPr>
        <w:spacing w:before="30" w:after="0"/>
        <w:jc w:val="right"/>
        <w:rPr>
          <w:rFonts w:ascii="Times New Roman" w:hAnsi="Times New Roman"/>
          <w:color w:val="000000"/>
          <w:sz w:val="24"/>
          <w:szCs w:val="24"/>
        </w:rPr>
      </w:pPr>
    </w:p>
    <w:p w:rsidR="00C255FA" w:rsidRPr="00287A7E" w:rsidRDefault="00C255FA" w:rsidP="009E6808">
      <w:pPr>
        <w:pStyle w:val="NormalWeb"/>
        <w:spacing w:before="30" w:beforeAutospacing="0" w:line="360" w:lineRule="auto"/>
        <w:rPr>
          <w:rStyle w:val="blockemailwithname"/>
          <w:b/>
        </w:rPr>
      </w:pPr>
      <w:r w:rsidRPr="00287A7E">
        <w:rPr>
          <w:rStyle w:val="blockemailwithname"/>
          <w:b/>
        </w:rPr>
        <w:t>RESUMO</w:t>
      </w:r>
    </w:p>
    <w:p w:rsidR="00C255FA" w:rsidRDefault="00C255FA" w:rsidP="00977B7F">
      <w:pPr>
        <w:pStyle w:val="NormalWeb"/>
        <w:spacing w:before="30" w:beforeAutospacing="0" w:line="360" w:lineRule="auto"/>
        <w:jc w:val="both"/>
        <w:rPr>
          <w:color w:val="000000"/>
        </w:rPr>
      </w:pPr>
      <w:r w:rsidRPr="001F7D2C">
        <w:rPr>
          <w:rStyle w:val="blockemailwithname"/>
          <w:color w:val="000000"/>
        </w:rPr>
        <w:t xml:space="preserve">O </w:t>
      </w:r>
      <w:r>
        <w:rPr>
          <w:rStyle w:val="blockemailwithname"/>
          <w:color w:val="000000"/>
        </w:rPr>
        <w:t>tema proposto da pesquisa em questão</w:t>
      </w:r>
      <w:r w:rsidRPr="001F7D2C">
        <w:rPr>
          <w:rStyle w:val="blockemailwithname"/>
          <w:color w:val="000000"/>
        </w:rPr>
        <w:t xml:space="preserve"> busca relatar o processo histórico de formação do Movimento dos Trabalhadores Rurais Sem Terra (MST) no estado da Paraíba. Para isso, busca-se descrever a gênese do MST que surge, nacionalmente, no ano de 1985; narra-se ainda as dificuldades encontradas pelos trabalhadores para fincar as raízes do movimento no estado paraibano.</w:t>
      </w:r>
      <w:r w:rsidRPr="001F7D2C">
        <w:rPr>
          <w:color w:val="000000"/>
        </w:rPr>
        <w:t xml:space="preserve"> Parte-se do princípio de que o MST nasce a partir da necessidade dos camponeses de formar um movimento social no campo para lutar pela Reforma Agrária, ou, em um significado mais amplo, nasce com o intuito de alcançar uma melhor forma de vida no campo brasileiro.</w:t>
      </w:r>
      <w:r w:rsidRPr="006C4B46">
        <w:rPr>
          <w:color w:val="000000"/>
        </w:rPr>
        <w:t xml:space="preserve"> </w:t>
      </w:r>
      <w:r w:rsidRPr="00C01018">
        <w:rPr>
          <w:color w:val="000000"/>
        </w:rPr>
        <w:t>Os trabalhadores rurais integrantes do MST lutam pela terra para nela produzir, não querendo detê-la apenas como reserva de valor, como é típico de uma estrutura agrária latifundi</w:t>
      </w:r>
      <w:r>
        <w:rPr>
          <w:color w:val="000000"/>
        </w:rPr>
        <w:t xml:space="preserve">ária como a nossa. De modo que se faz relevante dar visibilidade a um movimento social tão importante no processo de redirecionar o cenário rural paraibano e consequentemente o brasileiro, para um contexto agrário mais justo no que se refere ao </w:t>
      </w:r>
      <w:proofErr w:type="spellStart"/>
      <w:r>
        <w:rPr>
          <w:color w:val="000000"/>
        </w:rPr>
        <w:t>campesinato</w:t>
      </w:r>
      <w:proofErr w:type="spellEnd"/>
      <w:r>
        <w:rPr>
          <w:color w:val="000000"/>
        </w:rPr>
        <w:t>.</w:t>
      </w:r>
    </w:p>
    <w:p w:rsidR="00C255FA" w:rsidRDefault="00444A39" w:rsidP="006129EF">
      <w:pPr>
        <w:pStyle w:val="NormalWeb"/>
        <w:spacing w:before="240" w:beforeAutospacing="0" w:line="360" w:lineRule="auto"/>
        <w:jc w:val="both"/>
        <w:rPr>
          <w:color w:val="000000"/>
        </w:rPr>
      </w:pPr>
      <w:r>
        <w:rPr>
          <w:b/>
          <w:color w:val="000000"/>
        </w:rPr>
        <w:t>Palavras-</w:t>
      </w:r>
      <w:r w:rsidR="00C255FA" w:rsidRPr="00977B7F">
        <w:rPr>
          <w:b/>
          <w:color w:val="000000"/>
        </w:rPr>
        <w:t>chave:</w:t>
      </w:r>
      <w:r w:rsidR="00C255FA">
        <w:rPr>
          <w:color w:val="000000"/>
        </w:rPr>
        <w:t xml:space="preserve"> MST na Paraíba, concentração fundiária, luta pela </w:t>
      </w:r>
      <w:proofErr w:type="gramStart"/>
      <w:r w:rsidR="00C255FA">
        <w:rPr>
          <w:color w:val="000000"/>
        </w:rPr>
        <w:t>terra</w:t>
      </w:r>
      <w:proofErr w:type="gramEnd"/>
    </w:p>
    <w:p w:rsidR="00C255FA" w:rsidRDefault="00C255FA" w:rsidP="006129EF">
      <w:pPr>
        <w:pStyle w:val="NormalWeb"/>
        <w:spacing w:before="240" w:beforeAutospacing="0" w:line="360" w:lineRule="auto"/>
        <w:jc w:val="both"/>
        <w:rPr>
          <w:color w:val="000000"/>
        </w:rPr>
      </w:pPr>
    </w:p>
    <w:p w:rsidR="00C255FA" w:rsidRDefault="00C255FA" w:rsidP="006129EF">
      <w:pPr>
        <w:pStyle w:val="NormalWeb"/>
        <w:spacing w:before="240" w:beforeAutospacing="0" w:line="360" w:lineRule="auto"/>
        <w:jc w:val="both"/>
        <w:rPr>
          <w:color w:val="000000"/>
        </w:rPr>
      </w:pPr>
    </w:p>
    <w:p w:rsidR="00C255FA" w:rsidRDefault="00C255FA" w:rsidP="006C4B46">
      <w:pPr>
        <w:pStyle w:val="NormalWeb"/>
        <w:spacing w:before="30" w:beforeAutospacing="0" w:line="360" w:lineRule="auto"/>
        <w:rPr>
          <w:b/>
          <w:color w:val="000000"/>
        </w:rPr>
        <w:sectPr w:rsidR="00C255FA" w:rsidSect="00977B7F">
          <w:headerReference w:type="default" r:id="rId6"/>
          <w:footerReference w:type="even" r:id="rId7"/>
          <w:footerReference w:type="default" r:id="rId8"/>
          <w:pgSz w:w="11906" w:h="16838"/>
          <w:pgMar w:top="1417" w:right="1701" w:bottom="1417" w:left="1701" w:header="708" w:footer="708" w:gutter="0"/>
          <w:pgNumType w:start="1"/>
          <w:cols w:space="708"/>
          <w:titlePg/>
          <w:docGrid w:linePitch="360"/>
        </w:sectPr>
      </w:pPr>
    </w:p>
    <w:p w:rsidR="00C255FA" w:rsidRPr="00DE1C1A" w:rsidRDefault="00C255FA" w:rsidP="006C4B46">
      <w:pPr>
        <w:pStyle w:val="NormalWeb"/>
        <w:spacing w:before="30" w:beforeAutospacing="0" w:line="360" w:lineRule="auto"/>
        <w:rPr>
          <w:b/>
          <w:color w:val="000000"/>
        </w:rPr>
      </w:pPr>
      <w:r w:rsidRPr="00DE1C1A">
        <w:rPr>
          <w:b/>
          <w:color w:val="000000"/>
        </w:rPr>
        <w:lastRenderedPageBreak/>
        <w:t>INTRODUÇÂO</w:t>
      </w:r>
    </w:p>
    <w:p w:rsidR="00C255FA" w:rsidRDefault="00C255FA" w:rsidP="00356BF0">
      <w:pPr>
        <w:pStyle w:val="NormalWeb"/>
        <w:spacing w:before="30" w:beforeAutospacing="0" w:after="0" w:afterAutospacing="0" w:line="360" w:lineRule="auto"/>
        <w:jc w:val="both"/>
        <w:rPr>
          <w:color w:val="000000"/>
        </w:rPr>
      </w:pPr>
      <w:r>
        <w:rPr>
          <w:color w:val="000000"/>
        </w:rPr>
        <w:t xml:space="preserve">         Este resumo expandido abordará um tema que pode ser caracterizado tanto em antigo, quanto em atual, pois a luta pela terra nos remete ao período pós-descobrimento, quando europeus e indígenas lutavam pelas terras recém-descobertas pelos europeus, já habitadas pelos índios, seguindo a contextualização, posteriormente vieram às capitanias hereditárias, as sesmarias, a Lei de Terras, a libertação dos escravos e a migração europeia. Toda esta conjuntura gestou um modelo agrário expropriador, explorador, violentador, que posteriormente foi potencializado pelos governos militares, entre 1964 a 1985, com um modelo desenvolvimentista que expropriava os camponeses em prol de grandes empresas estrangeiras e latifundiários brasileiros.</w:t>
      </w:r>
    </w:p>
    <w:p w:rsidR="00C255FA" w:rsidRDefault="00C255FA" w:rsidP="00356BF0">
      <w:pPr>
        <w:pStyle w:val="NormalWeb"/>
        <w:spacing w:before="30" w:beforeAutospacing="0" w:after="0" w:afterAutospacing="0" w:line="360" w:lineRule="auto"/>
        <w:jc w:val="both"/>
        <w:rPr>
          <w:color w:val="000000"/>
        </w:rPr>
      </w:pPr>
      <w:r>
        <w:rPr>
          <w:color w:val="000000"/>
        </w:rPr>
        <w:t xml:space="preserve">       Estas circunstâncias originaram o surgimento de grupos camponeses que não aceitaram a atuação do Estado e do capital na caracterização da estrutura agrária brasileira e paraibana, de modo que</w:t>
      </w:r>
      <w:proofErr w:type="gramStart"/>
      <w:r>
        <w:rPr>
          <w:color w:val="000000"/>
        </w:rPr>
        <w:t xml:space="preserve">  </w:t>
      </w:r>
      <w:proofErr w:type="gramEnd"/>
      <w:r>
        <w:rPr>
          <w:color w:val="000000"/>
        </w:rPr>
        <w:t>é a partir dessa inquietação que nasce o Movimento dos Trabalhadores Rurais Sem Terra, com o intuito de realizar de forma efetiva a verdadeira reforma agrária, aquela que de fato nunca ocorreu.</w:t>
      </w:r>
    </w:p>
    <w:p w:rsidR="00C255FA" w:rsidRDefault="00C255FA" w:rsidP="003A6266">
      <w:pPr>
        <w:spacing w:after="0" w:line="360" w:lineRule="auto"/>
        <w:jc w:val="both"/>
        <w:rPr>
          <w:rFonts w:ascii="Times New Roman" w:hAnsi="Times New Roman"/>
          <w:sz w:val="24"/>
        </w:rPr>
      </w:pPr>
      <w:r>
        <w:t xml:space="preserve">      </w:t>
      </w:r>
      <w:r w:rsidRPr="003A6266">
        <w:rPr>
          <w:rFonts w:ascii="Times New Roman" w:hAnsi="Times New Roman"/>
          <w:sz w:val="24"/>
        </w:rPr>
        <w:t>As mutações no cenário rural praticadas pelo capital com a anuência do Estado redefiniram a ocupação do território, deixando o camponês à margem do crescimento agropecuário e do uso da terra enquanto meio de sobrevivência, as monoculturas suprimiram as pequenas produções de gêneros de primeira necessidade, é o controverso contexto rural brasileiro</w:t>
      </w:r>
      <w:r>
        <w:rPr>
          <w:rFonts w:ascii="Times New Roman" w:hAnsi="Times New Roman"/>
          <w:sz w:val="24"/>
        </w:rPr>
        <w:t>/paraibano</w:t>
      </w:r>
      <w:r w:rsidRPr="003A6266">
        <w:rPr>
          <w:rFonts w:ascii="Times New Roman" w:hAnsi="Times New Roman"/>
          <w:sz w:val="24"/>
        </w:rPr>
        <w:t xml:space="preserve"> onde os pequenos produtores sucumbem ao poderio financeiro dos latifundiários que recebem incentivos do governo potencializando o seu capital financeiro em detrimento do camponês que tem que enfrentar sozinho o capital e todas as suas nuances e por vezes não sobrevivem ao mercado.</w:t>
      </w:r>
    </w:p>
    <w:p w:rsidR="00C255FA" w:rsidRDefault="00C255FA" w:rsidP="00181AA3">
      <w:pPr>
        <w:spacing w:after="0" w:line="360" w:lineRule="auto"/>
        <w:ind w:firstLine="567"/>
        <w:jc w:val="both"/>
        <w:rPr>
          <w:color w:val="000000"/>
        </w:rPr>
      </w:pPr>
      <w:r w:rsidRPr="00136791">
        <w:rPr>
          <w:rFonts w:ascii="Times New Roman" w:hAnsi="Times New Roman"/>
          <w:sz w:val="24"/>
        </w:rPr>
        <w:t xml:space="preserve">Esse desenvolvimento econômico do país, sob a égide do desenvolvimento do capital no campo acarreta negativamente o desenvolvimento efetivo do Brasil, pois este crescimento favorece apenas as grandes empresas e latifundiários e é nesta conjuntura que a Paraíba estava inserida, no período onde houve a </w:t>
      </w:r>
      <w:proofErr w:type="spellStart"/>
      <w:r w:rsidRPr="00136791">
        <w:rPr>
          <w:rFonts w:ascii="Times New Roman" w:hAnsi="Times New Roman"/>
          <w:sz w:val="24"/>
        </w:rPr>
        <w:t>potencialização</w:t>
      </w:r>
      <w:proofErr w:type="spellEnd"/>
      <w:r w:rsidRPr="00136791">
        <w:rPr>
          <w:rStyle w:val="Refdenotaderodap"/>
          <w:rFonts w:ascii="Times New Roman" w:hAnsi="Times New Roman"/>
          <w:sz w:val="24"/>
        </w:rPr>
        <w:footnoteReference w:id="1"/>
      </w:r>
      <w:r w:rsidRPr="00136791">
        <w:rPr>
          <w:rFonts w:ascii="Times New Roman" w:hAnsi="Times New Roman"/>
          <w:sz w:val="24"/>
        </w:rPr>
        <w:t xml:space="preserve"> do plantio da monocultura da cana-de-açúcar e mecanização das lavouras que consequentemente levava a: intensificação da concentração fundiária, a expulsão dos camponeses, a expropriação e o aumento da violência no campo paraibano, foram estas as circunstâncias, e a herança ideológica das Ligas Camponesas, que originaram a eclosão </w:t>
      </w:r>
      <w:r w:rsidRPr="00136791">
        <w:rPr>
          <w:rFonts w:ascii="Times New Roman" w:hAnsi="Times New Roman"/>
          <w:sz w:val="24"/>
        </w:rPr>
        <w:lastRenderedPageBreak/>
        <w:t xml:space="preserve">do MST na Paraíba, que nasce com o objetivo </w:t>
      </w:r>
      <w:r w:rsidRPr="00136791">
        <w:rPr>
          <w:rFonts w:ascii="Times New Roman" w:hAnsi="Times New Roman"/>
          <w:color w:val="000000"/>
          <w:sz w:val="28"/>
          <w:szCs w:val="24"/>
          <w:lang w:eastAsia="pt-BR"/>
        </w:rPr>
        <w:t>d</w:t>
      </w:r>
      <w:r w:rsidRPr="00136791">
        <w:rPr>
          <w:rFonts w:ascii="Times New Roman" w:hAnsi="Times New Roman"/>
          <w:color w:val="000000"/>
          <w:sz w:val="24"/>
          <w:szCs w:val="24"/>
          <w:lang w:eastAsia="pt-BR"/>
        </w:rPr>
        <w:t>e mudar esse processo contraditório, que prejudica uma maioria da população, na qual uma minoria é beneficiada.</w:t>
      </w:r>
      <w:r w:rsidRPr="003C00F5">
        <w:rPr>
          <w:color w:val="000000"/>
        </w:rPr>
        <w:t xml:space="preserve"> </w:t>
      </w:r>
    </w:p>
    <w:p w:rsidR="00C255FA" w:rsidRDefault="00C255FA" w:rsidP="00181AA3">
      <w:pPr>
        <w:spacing w:after="0" w:line="360" w:lineRule="auto"/>
        <w:ind w:firstLine="567"/>
        <w:jc w:val="both"/>
        <w:rPr>
          <w:rFonts w:ascii="Times New Roman" w:hAnsi="Times New Roman"/>
          <w:color w:val="000000"/>
          <w:szCs w:val="24"/>
          <w:lang w:eastAsia="pt-BR"/>
        </w:rPr>
      </w:pPr>
      <w:r>
        <w:rPr>
          <w:rFonts w:ascii="Times New Roman" w:hAnsi="Times New Roman"/>
          <w:color w:val="000000"/>
          <w:sz w:val="24"/>
          <w:szCs w:val="24"/>
        </w:rPr>
        <w:t>Em virtude disto o MST nasce na Paraíba em 1985, mas é em 1989 que ocorre a primeira ocupação</w:t>
      </w:r>
      <w:r w:rsidRPr="003C00F5">
        <w:rPr>
          <w:rFonts w:ascii="Times New Roman" w:hAnsi="Times New Roman"/>
          <w:color w:val="000000"/>
          <w:sz w:val="24"/>
          <w:szCs w:val="24"/>
        </w:rPr>
        <w:t>.</w:t>
      </w:r>
      <w:r w:rsidRPr="003C00F5">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Este movimento se origina em uma tentativa de transformar uma estrutura fundiária onde o capital avança expulsando o camponês de suas origens territoriais.</w:t>
      </w:r>
    </w:p>
    <w:p w:rsidR="00C255FA" w:rsidRPr="003D5BC7" w:rsidRDefault="00C255FA" w:rsidP="00181AA3">
      <w:pPr>
        <w:spacing w:after="0" w:line="360" w:lineRule="auto"/>
        <w:ind w:firstLine="567"/>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A tabela abaixo não deixa dúvidas quanto à implantação e a permanência do modelo fundiário que favorece ao latifundiário em detrimento do camponês, o cenário é extremamente preocupante, pois o contrassenso é contundente no que se refere </w:t>
      </w:r>
      <w:proofErr w:type="gramStart"/>
      <w:r>
        <w:rPr>
          <w:rFonts w:ascii="Times New Roman" w:hAnsi="Times New Roman"/>
          <w:color w:val="000000"/>
          <w:sz w:val="24"/>
          <w:szCs w:val="24"/>
          <w:lang w:eastAsia="pt-BR"/>
        </w:rPr>
        <w:t>a</w:t>
      </w:r>
      <w:proofErr w:type="gramEnd"/>
      <w:r>
        <w:rPr>
          <w:rFonts w:ascii="Times New Roman" w:hAnsi="Times New Roman"/>
          <w:color w:val="000000"/>
          <w:sz w:val="24"/>
          <w:szCs w:val="24"/>
          <w:lang w:eastAsia="pt-BR"/>
        </w:rPr>
        <w:t xml:space="preserve"> ocupação de terras para a produção de alimentos.</w:t>
      </w:r>
    </w:p>
    <w:tbl>
      <w:tblPr>
        <w:tblW w:w="9371" w:type="dxa"/>
        <w:tblInd w:w="55" w:type="dxa"/>
        <w:tblCellMar>
          <w:left w:w="70" w:type="dxa"/>
          <w:right w:w="70" w:type="dxa"/>
        </w:tblCellMar>
        <w:tblLook w:val="00A0"/>
      </w:tblPr>
      <w:tblGrid>
        <w:gridCol w:w="1286"/>
        <w:gridCol w:w="1551"/>
        <w:gridCol w:w="1834"/>
        <w:gridCol w:w="1693"/>
        <w:gridCol w:w="1552"/>
        <w:gridCol w:w="1240"/>
        <w:gridCol w:w="215"/>
      </w:tblGrid>
      <w:tr w:rsidR="00C255FA" w:rsidRPr="00B544BD" w:rsidTr="00303543">
        <w:trPr>
          <w:trHeight w:val="405"/>
        </w:trPr>
        <w:tc>
          <w:tcPr>
            <w:tcW w:w="9371" w:type="dxa"/>
            <w:gridSpan w:val="7"/>
            <w:vMerge w:val="restart"/>
            <w:tcBorders>
              <w:top w:val="nil"/>
              <w:left w:val="nil"/>
              <w:bottom w:val="single" w:sz="4" w:space="0" w:color="000000"/>
              <w:right w:val="nil"/>
            </w:tcBorders>
            <w:noWrap/>
            <w:vAlign w:val="bottom"/>
          </w:tcPr>
          <w:p w:rsidR="00C255FA" w:rsidRPr="00157A90" w:rsidRDefault="00C255FA" w:rsidP="00303543">
            <w:pPr>
              <w:spacing w:after="0"/>
              <w:ind w:right="-71"/>
              <w:jc w:val="both"/>
              <w:rPr>
                <w:rFonts w:ascii="Times New Roman" w:hAnsi="Times New Roman"/>
                <w:b/>
                <w:bCs/>
                <w:color w:val="000000"/>
                <w:sz w:val="24"/>
                <w:szCs w:val="24"/>
                <w:lang w:eastAsia="pt-BR"/>
              </w:rPr>
            </w:pPr>
            <w:r w:rsidRPr="0067388D">
              <w:rPr>
                <w:rFonts w:ascii="Times New Roman" w:hAnsi="Times New Roman"/>
                <w:b/>
                <w:bCs/>
                <w:color w:val="000000"/>
                <w:sz w:val="24"/>
                <w:szCs w:val="24"/>
                <w:lang w:eastAsia="pt-BR"/>
              </w:rPr>
              <w:t xml:space="preserve">Síntese analítica do número total e área (ha) dos estabelecimentos da agricultura familiar e não familiar no Brasil, Nordeste e </w:t>
            </w:r>
            <w:proofErr w:type="gramStart"/>
            <w:r w:rsidRPr="0067388D">
              <w:rPr>
                <w:rFonts w:ascii="Times New Roman" w:hAnsi="Times New Roman"/>
                <w:b/>
                <w:bCs/>
                <w:color w:val="000000"/>
                <w:sz w:val="24"/>
                <w:szCs w:val="24"/>
                <w:lang w:eastAsia="pt-BR"/>
              </w:rPr>
              <w:t>Paraíba</w:t>
            </w:r>
            <w:proofErr w:type="gramEnd"/>
          </w:p>
        </w:tc>
      </w:tr>
      <w:tr w:rsidR="00C255FA" w:rsidRPr="00B544BD" w:rsidTr="00303543">
        <w:trPr>
          <w:trHeight w:val="423"/>
        </w:trPr>
        <w:tc>
          <w:tcPr>
            <w:tcW w:w="9371" w:type="dxa"/>
            <w:gridSpan w:val="7"/>
            <w:vMerge/>
            <w:tcBorders>
              <w:top w:val="nil"/>
              <w:left w:val="nil"/>
              <w:bottom w:val="single" w:sz="4" w:space="0" w:color="000000"/>
              <w:right w:val="nil"/>
            </w:tcBorders>
            <w:vAlign w:val="center"/>
          </w:tcPr>
          <w:p w:rsidR="00C255FA" w:rsidRPr="00157A90" w:rsidRDefault="00C255FA" w:rsidP="00303543">
            <w:pPr>
              <w:spacing w:after="0"/>
              <w:rPr>
                <w:rFonts w:ascii="Times New Roman" w:hAnsi="Times New Roman"/>
                <w:b/>
                <w:bCs/>
                <w:color w:val="000000"/>
                <w:sz w:val="32"/>
                <w:szCs w:val="32"/>
                <w:lang w:eastAsia="pt-BR"/>
              </w:rPr>
            </w:pPr>
          </w:p>
        </w:tc>
      </w:tr>
      <w:tr w:rsidR="00C255FA" w:rsidRPr="00B544BD" w:rsidTr="00303543">
        <w:trPr>
          <w:gridAfter w:val="1"/>
          <w:wAfter w:w="215" w:type="dxa"/>
          <w:trHeight w:val="810"/>
        </w:trPr>
        <w:tc>
          <w:tcPr>
            <w:tcW w:w="1286" w:type="dxa"/>
            <w:vMerge w:val="restart"/>
            <w:tcBorders>
              <w:top w:val="nil"/>
              <w:left w:val="nil"/>
              <w:bottom w:val="single" w:sz="4" w:space="0" w:color="000000"/>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 xml:space="preserve">Nº total de est. Brasil </w:t>
            </w:r>
          </w:p>
        </w:tc>
        <w:tc>
          <w:tcPr>
            <w:tcW w:w="1551" w:type="dxa"/>
            <w:vMerge w:val="restart"/>
            <w:tcBorders>
              <w:top w:val="nil"/>
              <w:left w:val="single" w:sz="4" w:space="0" w:color="auto"/>
              <w:bottom w:val="single" w:sz="4" w:space="0" w:color="000000"/>
              <w:right w:val="single" w:sz="4" w:space="0" w:color="auto"/>
            </w:tcBorders>
            <w:noWrap/>
            <w:vAlign w:val="bottom"/>
          </w:tcPr>
          <w:p w:rsidR="00C255FA" w:rsidRPr="00977B7F" w:rsidRDefault="00C255FA" w:rsidP="00303543">
            <w:pPr>
              <w:spacing w:after="0"/>
              <w:jc w:val="center"/>
              <w:rPr>
                <w:rFonts w:ascii="Times New Roman" w:hAnsi="Times New Roman"/>
                <w:color w:val="000000"/>
                <w:lang w:val="es-ES" w:eastAsia="pt-BR"/>
              </w:rPr>
            </w:pPr>
            <w:r w:rsidRPr="00977B7F">
              <w:rPr>
                <w:rFonts w:ascii="Times New Roman" w:hAnsi="Times New Roman"/>
                <w:color w:val="000000"/>
                <w:lang w:val="es-ES" w:eastAsia="pt-BR"/>
              </w:rPr>
              <w:t xml:space="preserve">Área total </w:t>
            </w:r>
            <w:proofErr w:type="spellStart"/>
            <w:r w:rsidRPr="00977B7F">
              <w:rPr>
                <w:rFonts w:ascii="Times New Roman" w:hAnsi="Times New Roman"/>
                <w:color w:val="000000"/>
                <w:lang w:val="es-ES" w:eastAsia="pt-BR"/>
              </w:rPr>
              <w:t>est</w:t>
            </w:r>
            <w:proofErr w:type="spellEnd"/>
            <w:r w:rsidRPr="00977B7F">
              <w:rPr>
                <w:rFonts w:ascii="Times New Roman" w:hAnsi="Times New Roman"/>
                <w:color w:val="000000"/>
                <w:lang w:val="es-ES" w:eastAsia="pt-BR"/>
              </w:rPr>
              <w:t>. (ha) BR</w:t>
            </w:r>
          </w:p>
        </w:tc>
        <w:tc>
          <w:tcPr>
            <w:tcW w:w="1834" w:type="dxa"/>
            <w:vMerge w:val="restart"/>
            <w:tcBorders>
              <w:top w:val="nil"/>
              <w:left w:val="single" w:sz="4" w:space="0" w:color="auto"/>
              <w:bottom w:val="single" w:sz="4" w:space="0" w:color="000000"/>
              <w:right w:val="single" w:sz="4" w:space="0" w:color="auto"/>
            </w:tcBorders>
            <w:noWrap/>
            <w:vAlign w:val="bottom"/>
          </w:tcPr>
          <w:p w:rsidR="00C255FA" w:rsidRPr="00977B7F" w:rsidRDefault="00C255FA" w:rsidP="00303543">
            <w:pPr>
              <w:spacing w:after="0"/>
              <w:jc w:val="center"/>
              <w:rPr>
                <w:rFonts w:ascii="Times New Roman" w:hAnsi="Times New Roman"/>
                <w:color w:val="000000"/>
                <w:lang w:val="fr-FR" w:eastAsia="pt-BR"/>
              </w:rPr>
            </w:pPr>
            <w:r w:rsidRPr="00977B7F">
              <w:rPr>
                <w:rFonts w:ascii="Times New Roman" w:hAnsi="Times New Roman"/>
                <w:color w:val="000000"/>
                <w:lang w:val="fr-FR" w:eastAsia="pt-BR"/>
              </w:rPr>
              <w:t>Total de est fam. BR</w:t>
            </w:r>
          </w:p>
        </w:tc>
        <w:tc>
          <w:tcPr>
            <w:tcW w:w="1693" w:type="dxa"/>
            <w:vMerge w:val="restart"/>
            <w:tcBorders>
              <w:top w:val="nil"/>
              <w:left w:val="single" w:sz="4" w:space="0" w:color="auto"/>
              <w:bottom w:val="single" w:sz="4" w:space="0" w:color="000000"/>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 xml:space="preserve">Área total de </w:t>
            </w:r>
            <w:proofErr w:type="spellStart"/>
            <w:r w:rsidRPr="00157A90">
              <w:rPr>
                <w:rFonts w:ascii="Times New Roman" w:hAnsi="Times New Roman"/>
                <w:color w:val="000000"/>
                <w:lang w:eastAsia="pt-BR"/>
              </w:rPr>
              <w:t>est</w:t>
            </w:r>
            <w:proofErr w:type="spellEnd"/>
            <w:r w:rsidRPr="00157A90">
              <w:rPr>
                <w:rFonts w:ascii="Times New Roman" w:hAnsi="Times New Roman"/>
                <w:color w:val="000000"/>
                <w:lang w:eastAsia="pt-BR"/>
              </w:rPr>
              <w:t xml:space="preserve"> fam. (ha) BR</w:t>
            </w:r>
          </w:p>
        </w:tc>
        <w:tc>
          <w:tcPr>
            <w:tcW w:w="2792" w:type="dxa"/>
            <w:gridSpan w:val="2"/>
            <w:tcBorders>
              <w:top w:val="single" w:sz="4" w:space="0" w:color="auto"/>
              <w:left w:val="nil"/>
              <w:bottom w:val="single" w:sz="4" w:space="0" w:color="auto"/>
              <w:right w:val="nil"/>
            </w:tcBorders>
            <w:noWrap/>
            <w:vAlign w:val="bottom"/>
          </w:tcPr>
          <w:p w:rsidR="00C255FA" w:rsidRPr="00157A90" w:rsidRDefault="00C255FA" w:rsidP="00303543">
            <w:pPr>
              <w:spacing w:after="0"/>
              <w:rPr>
                <w:rFonts w:ascii="Times New Roman" w:hAnsi="Times New Roman"/>
                <w:color w:val="000000"/>
                <w:lang w:eastAsia="pt-BR"/>
              </w:rPr>
            </w:pPr>
            <w:r w:rsidRPr="00157A90">
              <w:rPr>
                <w:rFonts w:ascii="Times New Roman" w:hAnsi="Times New Roman"/>
                <w:color w:val="000000"/>
                <w:lang w:eastAsia="pt-BR"/>
              </w:rPr>
              <w:t>Est</w:t>
            </w:r>
            <w:r>
              <w:rPr>
                <w:rFonts w:ascii="Times New Roman" w:hAnsi="Times New Roman"/>
                <w:color w:val="000000"/>
                <w:lang w:eastAsia="pt-BR"/>
              </w:rPr>
              <w:t>abelecimentos</w:t>
            </w:r>
            <w:r w:rsidRPr="00157A90">
              <w:rPr>
                <w:rFonts w:ascii="Times New Roman" w:hAnsi="Times New Roman"/>
                <w:color w:val="000000"/>
                <w:lang w:eastAsia="pt-BR"/>
              </w:rPr>
              <w:t xml:space="preserve"> n</w:t>
            </w:r>
            <w:r>
              <w:rPr>
                <w:rFonts w:ascii="Times New Roman" w:hAnsi="Times New Roman"/>
                <w:color w:val="000000"/>
                <w:lang w:eastAsia="pt-BR"/>
              </w:rPr>
              <w:t>ão</w:t>
            </w:r>
            <w:r w:rsidRPr="00157A90">
              <w:rPr>
                <w:rFonts w:ascii="Times New Roman" w:hAnsi="Times New Roman"/>
                <w:color w:val="000000"/>
                <w:lang w:eastAsia="pt-BR"/>
              </w:rPr>
              <w:t xml:space="preserve"> fam</w:t>
            </w:r>
            <w:r>
              <w:rPr>
                <w:rFonts w:ascii="Times New Roman" w:hAnsi="Times New Roman"/>
                <w:color w:val="000000"/>
                <w:lang w:eastAsia="pt-BR"/>
              </w:rPr>
              <w:t>iliares</w:t>
            </w:r>
            <w:r w:rsidRPr="00157A90">
              <w:rPr>
                <w:rFonts w:ascii="Times New Roman" w:hAnsi="Times New Roman"/>
                <w:color w:val="000000"/>
                <w:lang w:eastAsia="pt-BR"/>
              </w:rPr>
              <w:t>.</w:t>
            </w:r>
          </w:p>
        </w:tc>
      </w:tr>
      <w:tr w:rsidR="00C255FA" w:rsidRPr="00B544BD" w:rsidTr="00303543">
        <w:trPr>
          <w:gridAfter w:val="1"/>
          <w:wAfter w:w="215" w:type="dxa"/>
          <w:trHeight w:val="420"/>
        </w:trPr>
        <w:tc>
          <w:tcPr>
            <w:tcW w:w="1286" w:type="dxa"/>
            <w:vMerge/>
            <w:tcBorders>
              <w:top w:val="nil"/>
              <w:left w:val="nil"/>
              <w:bottom w:val="single" w:sz="4" w:space="0" w:color="000000"/>
              <w:right w:val="single" w:sz="4" w:space="0" w:color="auto"/>
            </w:tcBorders>
            <w:vAlign w:val="center"/>
          </w:tcPr>
          <w:p w:rsidR="00C255FA" w:rsidRPr="00157A90" w:rsidRDefault="00C255FA" w:rsidP="00303543">
            <w:pPr>
              <w:spacing w:after="0"/>
              <w:rPr>
                <w:rFonts w:ascii="Times New Roman" w:hAnsi="Times New Roman"/>
                <w:color w:val="000000"/>
                <w:lang w:eastAsia="pt-BR"/>
              </w:rPr>
            </w:pPr>
          </w:p>
        </w:tc>
        <w:tc>
          <w:tcPr>
            <w:tcW w:w="1551" w:type="dxa"/>
            <w:vMerge/>
            <w:tcBorders>
              <w:top w:val="nil"/>
              <w:left w:val="single" w:sz="4" w:space="0" w:color="auto"/>
              <w:bottom w:val="single" w:sz="4" w:space="0" w:color="000000"/>
              <w:right w:val="single" w:sz="4" w:space="0" w:color="auto"/>
            </w:tcBorders>
            <w:vAlign w:val="center"/>
          </w:tcPr>
          <w:p w:rsidR="00C255FA" w:rsidRPr="00157A90" w:rsidRDefault="00C255FA" w:rsidP="00303543">
            <w:pPr>
              <w:spacing w:after="0"/>
              <w:rPr>
                <w:rFonts w:ascii="Times New Roman" w:hAnsi="Times New Roman"/>
                <w:color w:val="000000"/>
                <w:lang w:eastAsia="pt-BR"/>
              </w:rPr>
            </w:pPr>
          </w:p>
        </w:tc>
        <w:tc>
          <w:tcPr>
            <w:tcW w:w="1834" w:type="dxa"/>
            <w:vMerge/>
            <w:tcBorders>
              <w:top w:val="nil"/>
              <w:left w:val="single" w:sz="4" w:space="0" w:color="auto"/>
              <w:bottom w:val="single" w:sz="4" w:space="0" w:color="000000"/>
              <w:right w:val="single" w:sz="4" w:space="0" w:color="auto"/>
            </w:tcBorders>
            <w:vAlign w:val="center"/>
          </w:tcPr>
          <w:p w:rsidR="00C255FA" w:rsidRPr="00157A90" w:rsidRDefault="00C255FA" w:rsidP="00303543">
            <w:pPr>
              <w:spacing w:after="0"/>
              <w:rPr>
                <w:rFonts w:ascii="Times New Roman" w:hAnsi="Times New Roman"/>
                <w:color w:val="000000"/>
                <w:lang w:eastAsia="pt-BR"/>
              </w:rPr>
            </w:pPr>
          </w:p>
        </w:tc>
        <w:tc>
          <w:tcPr>
            <w:tcW w:w="1693" w:type="dxa"/>
            <w:vMerge/>
            <w:tcBorders>
              <w:top w:val="nil"/>
              <w:left w:val="single" w:sz="4" w:space="0" w:color="auto"/>
              <w:bottom w:val="single" w:sz="4" w:space="0" w:color="000000"/>
              <w:right w:val="single" w:sz="4" w:space="0" w:color="auto"/>
            </w:tcBorders>
            <w:vAlign w:val="center"/>
          </w:tcPr>
          <w:p w:rsidR="00C255FA" w:rsidRPr="00157A90" w:rsidRDefault="00C255FA" w:rsidP="00303543">
            <w:pPr>
              <w:spacing w:after="0"/>
              <w:rPr>
                <w:rFonts w:ascii="Times New Roman" w:hAnsi="Times New Roman"/>
                <w:color w:val="000000"/>
                <w:lang w:eastAsia="pt-BR"/>
              </w:rPr>
            </w:pPr>
          </w:p>
        </w:tc>
        <w:tc>
          <w:tcPr>
            <w:tcW w:w="1552" w:type="dxa"/>
            <w:tcBorders>
              <w:top w:val="nil"/>
              <w:left w:val="nil"/>
              <w:bottom w:val="single" w:sz="4" w:space="0" w:color="auto"/>
              <w:right w:val="single" w:sz="4" w:space="0" w:color="auto"/>
            </w:tcBorders>
            <w:vAlign w:val="bottom"/>
          </w:tcPr>
          <w:p w:rsidR="00C255FA" w:rsidRPr="00157A90" w:rsidRDefault="00C255FA" w:rsidP="00303543">
            <w:pPr>
              <w:spacing w:after="0"/>
              <w:jc w:val="center"/>
              <w:rPr>
                <w:rFonts w:ascii="Times New Roman" w:hAnsi="Times New Roman"/>
                <w:color w:val="000000"/>
                <w:lang w:eastAsia="pt-BR"/>
              </w:rPr>
            </w:pPr>
            <w:r>
              <w:rPr>
                <w:rFonts w:ascii="Times New Roman" w:hAnsi="Times New Roman"/>
                <w:color w:val="000000"/>
                <w:lang w:eastAsia="pt-BR"/>
              </w:rPr>
              <w:t>Total</w:t>
            </w:r>
            <w:r w:rsidRPr="00157A90">
              <w:rPr>
                <w:rFonts w:ascii="Times New Roman" w:hAnsi="Times New Roman"/>
                <w:color w:val="000000"/>
                <w:lang w:eastAsia="pt-BR"/>
              </w:rPr>
              <w:t xml:space="preserve"> BR</w:t>
            </w:r>
          </w:p>
        </w:tc>
        <w:tc>
          <w:tcPr>
            <w:tcW w:w="1240" w:type="dxa"/>
            <w:tcBorders>
              <w:top w:val="nil"/>
              <w:left w:val="nil"/>
              <w:bottom w:val="single" w:sz="4" w:space="0" w:color="auto"/>
              <w:right w:val="nil"/>
            </w:tcBorders>
            <w:vAlign w:val="bottom"/>
          </w:tcPr>
          <w:p w:rsidR="00C255FA" w:rsidRPr="00157A90" w:rsidRDefault="00C255FA" w:rsidP="00303543">
            <w:pPr>
              <w:spacing w:after="0"/>
              <w:rPr>
                <w:rFonts w:ascii="Times New Roman" w:hAnsi="Times New Roman"/>
                <w:color w:val="000000"/>
                <w:lang w:eastAsia="pt-BR"/>
              </w:rPr>
            </w:pPr>
            <w:r w:rsidRPr="00157A90">
              <w:rPr>
                <w:rFonts w:ascii="Times New Roman" w:hAnsi="Times New Roman"/>
                <w:color w:val="000000"/>
                <w:lang w:eastAsia="pt-BR"/>
              </w:rPr>
              <w:t>Área (ha) BR</w:t>
            </w:r>
          </w:p>
        </w:tc>
      </w:tr>
      <w:tr w:rsidR="00C255FA" w:rsidRPr="00B544BD" w:rsidTr="00303543">
        <w:trPr>
          <w:gridAfter w:val="1"/>
          <w:wAfter w:w="215" w:type="dxa"/>
          <w:trHeight w:val="577"/>
        </w:trPr>
        <w:tc>
          <w:tcPr>
            <w:tcW w:w="1286"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5.175.489</w:t>
            </w:r>
          </w:p>
        </w:tc>
        <w:tc>
          <w:tcPr>
            <w:tcW w:w="1551"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329.941.393</w:t>
            </w:r>
          </w:p>
        </w:tc>
        <w:tc>
          <w:tcPr>
            <w:tcW w:w="1834"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4.367.902</w:t>
            </w:r>
          </w:p>
        </w:tc>
        <w:tc>
          <w:tcPr>
            <w:tcW w:w="1693"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80.250.453</w:t>
            </w:r>
          </w:p>
        </w:tc>
        <w:tc>
          <w:tcPr>
            <w:tcW w:w="1552"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807.587</w:t>
            </w:r>
          </w:p>
        </w:tc>
        <w:tc>
          <w:tcPr>
            <w:tcW w:w="1240" w:type="dxa"/>
            <w:tcBorders>
              <w:top w:val="nil"/>
              <w:left w:val="nil"/>
              <w:bottom w:val="single" w:sz="4" w:space="0" w:color="auto"/>
              <w:right w:val="nil"/>
            </w:tcBorders>
            <w:noWrap/>
            <w:vAlign w:val="bottom"/>
          </w:tcPr>
          <w:p w:rsidR="00C255FA" w:rsidRPr="00157A90" w:rsidRDefault="00C255FA" w:rsidP="00303543">
            <w:pPr>
              <w:spacing w:after="0"/>
              <w:rPr>
                <w:rFonts w:ascii="Times New Roman" w:hAnsi="Times New Roman"/>
                <w:color w:val="000000"/>
                <w:lang w:eastAsia="pt-BR"/>
              </w:rPr>
            </w:pPr>
            <w:r w:rsidRPr="00157A90">
              <w:rPr>
                <w:rFonts w:ascii="Times New Roman" w:hAnsi="Times New Roman"/>
                <w:color w:val="000000"/>
                <w:lang w:eastAsia="pt-BR"/>
              </w:rPr>
              <w:t>249.690.968</w:t>
            </w:r>
          </w:p>
        </w:tc>
      </w:tr>
      <w:tr w:rsidR="00C255FA" w:rsidRPr="00B544BD" w:rsidTr="00303543">
        <w:trPr>
          <w:gridAfter w:val="1"/>
          <w:wAfter w:w="215" w:type="dxa"/>
          <w:trHeight w:val="810"/>
        </w:trPr>
        <w:tc>
          <w:tcPr>
            <w:tcW w:w="1286" w:type="dxa"/>
            <w:vMerge w:val="restart"/>
            <w:tcBorders>
              <w:top w:val="nil"/>
              <w:left w:val="nil"/>
              <w:bottom w:val="single" w:sz="4" w:space="0" w:color="000000"/>
              <w:right w:val="single" w:sz="4" w:space="0" w:color="auto"/>
            </w:tcBorders>
            <w:noWrap/>
            <w:vAlign w:val="bottom"/>
          </w:tcPr>
          <w:p w:rsidR="00C255FA" w:rsidRPr="00157A90" w:rsidRDefault="00C255FA" w:rsidP="00303543">
            <w:pPr>
              <w:spacing w:after="0"/>
              <w:rPr>
                <w:rFonts w:ascii="Times New Roman" w:hAnsi="Times New Roman"/>
                <w:color w:val="000000"/>
                <w:lang w:eastAsia="pt-BR"/>
              </w:rPr>
            </w:pPr>
            <w:r>
              <w:rPr>
                <w:rFonts w:ascii="Times New Roman" w:hAnsi="Times New Roman"/>
                <w:color w:val="000000"/>
                <w:lang w:eastAsia="pt-BR"/>
              </w:rPr>
              <w:t xml:space="preserve">Nº </w:t>
            </w:r>
            <w:proofErr w:type="spellStart"/>
            <w:r w:rsidRPr="00157A90">
              <w:rPr>
                <w:rFonts w:ascii="Times New Roman" w:hAnsi="Times New Roman"/>
                <w:color w:val="000000"/>
                <w:lang w:eastAsia="pt-BR"/>
              </w:rPr>
              <w:t>Est</w:t>
            </w:r>
            <w:proofErr w:type="spellEnd"/>
            <w:r w:rsidRPr="00157A90">
              <w:rPr>
                <w:rFonts w:ascii="Times New Roman" w:hAnsi="Times New Roman"/>
                <w:color w:val="000000"/>
                <w:lang w:eastAsia="pt-BR"/>
              </w:rPr>
              <w:t xml:space="preserve"> NE</w:t>
            </w:r>
          </w:p>
        </w:tc>
        <w:tc>
          <w:tcPr>
            <w:tcW w:w="1551" w:type="dxa"/>
            <w:vMerge w:val="restart"/>
            <w:tcBorders>
              <w:top w:val="nil"/>
              <w:left w:val="single" w:sz="4" w:space="0" w:color="auto"/>
              <w:bottom w:val="single" w:sz="4" w:space="0" w:color="000000"/>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Pr>
                <w:rFonts w:ascii="Times New Roman" w:hAnsi="Times New Roman"/>
                <w:color w:val="000000"/>
                <w:lang w:eastAsia="pt-BR"/>
              </w:rPr>
              <w:t>T</w:t>
            </w:r>
            <w:r w:rsidRPr="00157A90">
              <w:rPr>
                <w:rFonts w:ascii="Times New Roman" w:hAnsi="Times New Roman"/>
                <w:color w:val="000000"/>
                <w:lang w:eastAsia="pt-BR"/>
              </w:rPr>
              <w:t>otal no NE</w:t>
            </w:r>
          </w:p>
        </w:tc>
        <w:tc>
          <w:tcPr>
            <w:tcW w:w="1834" w:type="dxa"/>
            <w:vMerge w:val="restart"/>
            <w:tcBorders>
              <w:top w:val="nil"/>
              <w:left w:val="single" w:sz="4" w:space="0" w:color="auto"/>
              <w:bottom w:val="single" w:sz="4" w:space="0" w:color="000000"/>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Pr>
                <w:rFonts w:ascii="Times New Roman" w:hAnsi="Times New Roman"/>
                <w:color w:val="000000"/>
                <w:lang w:eastAsia="pt-BR"/>
              </w:rPr>
              <w:t>Est</w:t>
            </w:r>
            <w:r w:rsidRPr="00157A90">
              <w:rPr>
                <w:rFonts w:ascii="Times New Roman" w:hAnsi="Times New Roman"/>
                <w:color w:val="000000"/>
                <w:lang w:eastAsia="pt-BR"/>
              </w:rPr>
              <w:t>. fam. NE</w:t>
            </w:r>
          </w:p>
        </w:tc>
        <w:tc>
          <w:tcPr>
            <w:tcW w:w="1693" w:type="dxa"/>
            <w:vMerge w:val="restart"/>
            <w:tcBorders>
              <w:top w:val="nil"/>
              <w:left w:val="single" w:sz="4" w:space="0" w:color="auto"/>
              <w:bottom w:val="single" w:sz="4" w:space="0" w:color="000000"/>
              <w:right w:val="single" w:sz="4" w:space="0" w:color="auto"/>
            </w:tcBorders>
            <w:noWrap/>
            <w:vAlign w:val="bottom"/>
          </w:tcPr>
          <w:p w:rsidR="00C255FA" w:rsidRPr="00157A90" w:rsidRDefault="00C255FA" w:rsidP="00303543">
            <w:pPr>
              <w:spacing w:after="0"/>
              <w:ind w:left="-353" w:firstLine="141"/>
              <w:jc w:val="center"/>
              <w:rPr>
                <w:rFonts w:ascii="Times New Roman" w:hAnsi="Times New Roman"/>
                <w:color w:val="000000"/>
                <w:lang w:eastAsia="pt-BR"/>
              </w:rPr>
            </w:pPr>
            <w:proofErr w:type="gramStart"/>
            <w:r w:rsidRPr="00157A90">
              <w:rPr>
                <w:rFonts w:ascii="Times New Roman" w:hAnsi="Times New Roman"/>
                <w:color w:val="000000"/>
                <w:lang w:eastAsia="pt-BR"/>
              </w:rPr>
              <w:t>Área(</w:t>
            </w:r>
            <w:proofErr w:type="gramEnd"/>
            <w:r w:rsidRPr="00157A90">
              <w:rPr>
                <w:rFonts w:ascii="Times New Roman" w:hAnsi="Times New Roman"/>
                <w:color w:val="000000"/>
                <w:lang w:eastAsia="pt-BR"/>
              </w:rPr>
              <w:t>ha) NE</w:t>
            </w:r>
          </w:p>
        </w:tc>
        <w:tc>
          <w:tcPr>
            <w:tcW w:w="1552" w:type="dxa"/>
            <w:vMerge w:val="restart"/>
            <w:tcBorders>
              <w:top w:val="nil"/>
              <w:left w:val="single" w:sz="4" w:space="0" w:color="auto"/>
              <w:bottom w:val="single" w:sz="4" w:space="0" w:color="000000"/>
              <w:right w:val="single" w:sz="4" w:space="0" w:color="auto"/>
            </w:tcBorders>
            <w:noWrap/>
            <w:vAlign w:val="bottom"/>
          </w:tcPr>
          <w:p w:rsidR="00C255FA" w:rsidRPr="00157A90" w:rsidRDefault="00C255FA" w:rsidP="00303543">
            <w:pPr>
              <w:spacing w:after="0"/>
              <w:rPr>
                <w:rFonts w:ascii="Times New Roman" w:hAnsi="Times New Roman"/>
                <w:color w:val="000000"/>
                <w:lang w:eastAsia="pt-BR"/>
              </w:rPr>
            </w:pPr>
            <w:r>
              <w:rPr>
                <w:rFonts w:ascii="Times New Roman" w:hAnsi="Times New Roman"/>
                <w:color w:val="000000"/>
                <w:lang w:eastAsia="pt-BR"/>
              </w:rPr>
              <w:t xml:space="preserve">    Total</w:t>
            </w:r>
            <w:proofErr w:type="gramStart"/>
            <w:r>
              <w:rPr>
                <w:rFonts w:ascii="Times New Roman" w:hAnsi="Times New Roman"/>
                <w:color w:val="000000"/>
                <w:lang w:eastAsia="pt-BR"/>
              </w:rPr>
              <w:t xml:space="preserve">  </w:t>
            </w:r>
            <w:proofErr w:type="gramEnd"/>
            <w:r>
              <w:rPr>
                <w:rFonts w:ascii="Times New Roman" w:hAnsi="Times New Roman"/>
                <w:color w:val="000000"/>
                <w:lang w:eastAsia="pt-BR"/>
              </w:rPr>
              <w:t>NE</w:t>
            </w:r>
          </w:p>
        </w:tc>
        <w:tc>
          <w:tcPr>
            <w:tcW w:w="1240" w:type="dxa"/>
            <w:vMerge w:val="restart"/>
            <w:tcBorders>
              <w:top w:val="nil"/>
              <w:left w:val="nil"/>
              <w:bottom w:val="single" w:sz="4" w:space="0" w:color="000000"/>
              <w:right w:val="nil"/>
            </w:tcBorders>
            <w:noWrap/>
            <w:vAlign w:val="bottom"/>
          </w:tcPr>
          <w:p w:rsidR="00C255FA" w:rsidRPr="00157A90" w:rsidRDefault="00C255FA" w:rsidP="00303543">
            <w:pPr>
              <w:spacing w:after="0"/>
              <w:rPr>
                <w:rFonts w:ascii="Times New Roman" w:hAnsi="Times New Roman"/>
                <w:color w:val="000000"/>
                <w:lang w:eastAsia="pt-BR"/>
              </w:rPr>
            </w:pPr>
            <w:r w:rsidRPr="00157A90">
              <w:rPr>
                <w:rFonts w:ascii="Times New Roman" w:hAnsi="Times New Roman"/>
                <w:color w:val="000000"/>
                <w:lang w:eastAsia="pt-BR"/>
              </w:rPr>
              <w:t>Área (ha) NE</w:t>
            </w:r>
          </w:p>
        </w:tc>
      </w:tr>
      <w:tr w:rsidR="00C255FA" w:rsidRPr="00B544BD" w:rsidTr="00303543">
        <w:trPr>
          <w:gridAfter w:val="1"/>
          <w:wAfter w:w="215" w:type="dxa"/>
          <w:trHeight w:val="291"/>
        </w:trPr>
        <w:tc>
          <w:tcPr>
            <w:tcW w:w="1286" w:type="dxa"/>
            <w:vMerge/>
            <w:tcBorders>
              <w:top w:val="nil"/>
              <w:left w:val="nil"/>
              <w:bottom w:val="single" w:sz="4" w:space="0" w:color="000000"/>
              <w:right w:val="single" w:sz="4" w:space="0" w:color="auto"/>
            </w:tcBorders>
            <w:vAlign w:val="center"/>
          </w:tcPr>
          <w:p w:rsidR="00C255FA" w:rsidRPr="00157A90" w:rsidRDefault="00C255FA" w:rsidP="00303543">
            <w:pPr>
              <w:spacing w:after="0"/>
              <w:rPr>
                <w:rFonts w:ascii="Times New Roman" w:hAnsi="Times New Roman"/>
                <w:color w:val="000000"/>
                <w:lang w:eastAsia="pt-BR"/>
              </w:rPr>
            </w:pPr>
          </w:p>
        </w:tc>
        <w:tc>
          <w:tcPr>
            <w:tcW w:w="1551" w:type="dxa"/>
            <w:vMerge/>
            <w:tcBorders>
              <w:top w:val="nil"/>
              <w:left w:val="single" w:sz="4" w:space="0" w:color="auto"/>
              <w:bottom w:val="single" w:sz="4" w:space="0" w:color="000000"/>
              <w:right w:val="single" w:sz="4" w:space="0" w:color="auto"/>
            </w:tcBorders>
            <w:vAlign w:val="center"/>
          </w:tcPr>
          <w:p w:rsidR="00C255FA" w:rsidRPr="00157A90" w:rsidRDefault="00C255FA" w:rsidP="00303543">
            <w:pPr>
              <w:spacing w:after="0"/>
              <w:rPr>
                <w:rFonts w:ascii="Times New Roman" w:hAnsi="Times New Roman"/>
                <w:color w:val="000000"/>
                <w:lang w:eastAsia="pt-BR"/>
              </w:rPr>
            </w:pPr>
          </w:p>
        </w:tc>
        <w:tc>
          <w:tcPr>
            <w:tcW w:w="1834" w:type="dxa"/>
            <w:vMerge/>
            <w:tcBorders>
              <w:top w:val="nil"/>
              <w:left w:val="single" w:sz="4" w:space="0" w:color="auto"/>
              <w:bottom w:val="single" w:sz="4" w:space="0" w:color="000000"/>
              <w:right w:val="single" w:sz="4" w:space="0" w:color="auto"/>
            </w:tcBorders>
            <w:vAlign w:val="center"/>
          </w:tcPr>
          <w:p w:rsidR="00C255FA" w:rsidRPr="00157A90" w:rsidRDefault="00C255FA" w:rsidP="00303543">
            <w:pPr>
              <w:spacing w:after="0"/>
              <w:rPr>
                <w:rFonts w:ascii="Times New Roman" w:hAnsi="Times New Roman"/>
                <w:color w:val="000000"/>
                <w:lang w:eastAsia="pt-BR"/>
              </w:rPr>
            </w:pPr>
          </w:p>
        </w:tc>
        <w:tc>
          <w:tcPr>
            <w:tcW w:w="1693" w:type="dxa"/>
            <w:vMerge/>
            <w:tcBorders>
              <w:top w:val="nil"/>
              <w:left w:val="single" w:sz="4" w:space="0" w:color="auto"/>
              <w:bottom w:val="single" w:sz="4" w:space="0" w:color="000000"/>
              <w:right w:val="single" w:sz="4" w:space="0" w:color="auto"/>
            </w:tcBorders>
            <w:vAlign w:val="center"/>
          </w:tcPr>
          <w:p w:rsidR="00C255FA" w:rsidRPr="00157A90" w:rsidRDefault="00C255FA" w:rsidP="00303543">
            <w:pPr>
              <w:spacing w:after="0"/>
              <w:rPr>
                <w:rFonts w:ascii="Times New Roman" w:hAnsi="Times New Roman"/>
                <w:color w:val="000000"/>
                <w:lang w:eastAsia="pt-BR"/>
              </w:rPr>
            </w:pPr>
          </w:p>
        </w:tc>
        <w:tc>
          <w:tcPr>
            <w:tcW w:w="1552" w:type="dxa"/>
            <w:vMerge/>
            <w:tcBorders>
              <w:top w:val="nil"/>
              <w:left w:val="single" w:sz="4" w:space="0" w:color="auto"/>
              <w:bottom w:val="single" w:sz="4" w:space="0" w:color="000000"/>
              <w:right w:val="single" w:sz="4" w:space="0" w:color="auto"/>
            </w:tcBorders>
            <w:vAlign w:val="bottom"/>
          </w:tcPr>
          <w:p w:rsidR="00C255FA" w:rsidRPr="00157A90" w:rsidRDefault="00C255FA" w:rsidP="00303543">
            <w:pPr>
              <w:spacing w:after="0"/>
              <w:rPr>
                <w:rFonts w:ascii="Times New Roman" w:hAnsi="Times New Roman"/>
                <w:color w:val="000000"/>
                <w:lang w:eastAsia="pt-BR"/>
              </w:rPr>
            </w:pPr>
          </w:p>
        </w:tc>
        <w:tc>
          <w:tcPr>
            <w:tcW w:w="1240" w:type="dxa"/>
            <w:vMerge/>
            <w:tcBorders>
              <w:top w:val="nil"/>
              <w:left w:val="nil"/>
              <w:bottom w:val="single" w:sz="4" w:space="0" w:color="000000"/>
              <w:right w:val="nil"/>
            </w:tcBorders>
            <w:vAlign w:val="center"/>
          </w:tcPr>
          <w:p w:rsidR="00C255FA" w:rsidRPr="00157A90" w:rsidRDefault="00C255FA" w:rsidP="00303543">
            <w:pPr>
              <w:spacing w:after="0"/>
              <w:rPr>
                <w:rFonts w:ascii="Times New Roman" w:hAnsi="Times New Roman"/>
                <w:color w:val="000000"/>
                <w:lang w:eastAsia="pt-BR"/>
              </w:rPr>
            </w:pPr>
          </w:p>
        </w:tc>
      </w:tr>
      <w:tr w:rsidR="00C255FA" w:rsidRPr="00B544BD" w:rsidTr="00303543">
        <w:trPr>
          <w:gridAfter w:val="1"/>
          <w:wAfter w:w="215" w:type="dxa"/>
          <w:trHeight w:val="300"/>
        </w:trPr>
        <w:tc>
          <w:tcPr>
            <w:tcW w:w="1286"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2.454.006</w:t>
            </w:r>
          </w:p>
        </w:tc>
        <w:tc>
          <w:tcPr>
            <w:tcW w:w="1551"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75.594.442</w:t>
            </w:r>
          </w:p>
        </w:tc>
        <w:tc>
          <w:tcPr>
            <w:tcW w:w="1834"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2.187.295</w:t>
            </w:r>
          </w:p>
        </w:tc>
        <w:tc>
          <w:tcPr>
            <w:tcW w:w="1693"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28.332.599</w:t>
            </w:r>
          </w:p>
        </w:tc>
        <w:tc>
          <w:tcPr>
            <w:tcW w:w="1552"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266.711</w:t>
            </w:r>
          </w:p>
        </w:tc>
        <w:tc>
          <w:tcPr>
            <w:tcW w:w="1240" w:type="dxa"/>
            <w:tcBorders>
              <w:top w:val="nil"/>
              <w:left w:val="nil"/>
              <w:bottom w:val="single" w:sz="4" w:space="0" w:color="auto"/>
              <w:right w:val="nil"/>
            </w:tcBorders>
            <w:vAlign w:val="bottom"/>
          </w:tcPr>
          <w:p w:rsidR="00C255FA" w:rsidRPr="00157A90" w:rsidRDefault="00C255FA" w:rsidP="00303543">
            <w:pPr>
              <w:spacing w:after="0"/>
              <w:rPr>
                <w:rFonts w:ascii="Times New Roman" w:hAnsi="Times New Roman"/>
                <w:color w:val="000000"/>
                <w:lang w:eastAsia="pt-BR"/>
              </w:rPr>
            </w:pPr>
            <w:r w:rsidRPr="00157A90">
              <w:rPr>
                <w:rFonts w:ascii="Times New Roman" w:hAnsi="Times New Roman"/>
                <w:color w:val="000000"/>
                <w:lang w:eastAsia="pt-BR"/>
              </w:rPr>
              <w:t>47.261.842</w:t>
            </w:r>
          </w:p>
        </w:tc>
      </w:tr>
      <w:tr w:rsidR="00C255FA" w:rsidRPr="00B544BD" w:rsidTr="00303543">
        <w:trPr>
          <w:gridAfter w:val="1"/>
          <w:wAfter w:w="215" w:type="dxa"/>
          <w:trHeight w:val="300"/>
        </w:trPr>
        <w:tc>
          <w:tcPr>
            <w:tcW w:w="1286" w:type="dxa"/>
            <w:tcBorders>
              <w:top w:val="nil"/>
              <w:left w:val="nil"/>
              <w:bottom w:val="single" w:sz="4" w:space="0" w:color="auto"/>
              <w:right w:val="single" w:sz="4" w:space="0" w:color="auto"/>
            </w:tcBorders>
            <w:noWrap/>
            <w:vAlign w:val="bottom"/>
          </w:tcPr>
          <w:p w:rsidR="00C255FA" w:rsidRPr="00157A90" w:rsidRDefault="00C255FA" w:rsidP="00303543">
            <w:pPr>
              <w:spacing w:after="0"/>
              <w:rPr>
                <w:rFonts w:ascii="Times New Roman" w:hAnsi="Times New Roman"/>
                <w:color w:val="000000"/>
                <w:lang w:eastAsia="pt-BR"/>
              </w:rPr>
            </w:pPr>
            <w:r>
              <w:rPr>
                <w:rFonts w:ascii="Times New Roman" w:hAnsi="Times New Roman"/>
                <w:color w:val="000000"/>
                <w:lang w:eastAsia="pt-BR"/>
              </w:rPr>
              <w:t xml:space="preserve">Nº </w:t>
            </w:r>
            <w:proofErr w:type="spellStart"/>
            <w:r w:rsidRPr="00157A90">
              <w:rPr>
                <w:rFonts w:ascii="Times New Roman" w:hAnsi="Times New Roman"/>
                <w:color w:val="000000"/>
                <w:lang w:eastAsia="pt-BR"/>
              </w:rPr>
              <w:t>Est</w:t>
            </w:r>
            <w:proofErr w:type="spellEnd"/>
            <w:r w:rsidRPr="00157A90">
              <w:rPr>
                <w:rFonts w:ascii="Times New Roman" w:hAnsi="Times New Roman"/>
                <w:color w:val="000000"/>
                <w:lang w:eastAsia="pt-BR"/>
              </w:rPr>
              <w:t xml:space="preserve"> PB</w:t>
            </w:r>
          </w:p>
        </w:tc>
        <w:tc>
          <w:tcPr>
            <w:tcW w:w="1551"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Total na PB</w:t>
            </w:r>
          </w:p>
        </w:tc>
        <w:tc>
          <w:tcPr>
            <w:tcW w:w="1834"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Est. Fam. Na PB</w:t>
            </w:r>
          </w:p>
        </w:tc>
        <w:tc>
          <w:tcPr>
            <w:tcW w:w="1693"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Área</w:t>
            </w:r>
            <w:r>
              <w:rPr>
                <w:rFonts w:ascii="Times New Roman" w:hAnsi="Times New Roman"/>
                <w:color w:val="000000"/>
                <w:lang w:eastAsia="pt-BR"/>
              </w:rPr>
              <w:t xml:space="preserve"> </w:t>
            </w:r>
            <w:r w:rsidRPr="00157A90">
              <w:rPr>
                <w:rFonts w:ascii="Times New Roman" w:hAnsi="Times New Roman"/>
                <w:color w:val="000000"/>
                <w:lang w:eastAsia="pt-BR"/>
              </w:rPr>
              <w:t>(ha) PB</w:t>
            </w:r>
          </w:p>
        </w:tc>
        <w:tc>
          <w:tcPr>
            <w:tcW w:w="1552" w:type="dxa"/>
            <w:tcBorders>
              <w:top w:val="nil"/>
              <w:left w:val="nil"/>
              <w:bottom w:val="single" w:sz="4" w:space="0" w:color="auto"/>
              <w:right w:val="single" w:sz="4" w:space="0" w:color="auto"/>
            </w:tcBorders>
            <w:noWrap/>
            <w:vAlign w:val="bottom"/>
          </w:tcPr>
          <w:p w:rsidR="00C255FA" w:rsidRPr="00157A90" w:rsidRDefault="00C255FA" w:rsidP="00303543">
            <w:pPr>
              <w:spacing w:after="0"/>
              <w:jc w:val="center"/>
              <w:rPr>
                <w:rFonts w:ascii="Times New Roman" w:hAnsi="Times New Roman"/>
                <w:color w:val="000000"/>
                <w:lang w:eastAsia="pt-BR"/>
              </w:rPr>
            </w:pPr>
            <w:r w:rsidRPr="00157A90">
              <w:rPr>
                <w:rFonts w:ascii="Times New Roman" w:hAnsi="Times New Roman"/>
                <w:color w:val="000000"/>
                <w:lang w:eastAsia="pt-BR"/>
              </w:rPr>
              <w:t>Total PB</w:t>
            </w:r>
          </w:p>
        </w:tc>
        <w:tc>
          <w:tcPr>
            <w:tcW w:w="1240" w:type="dxa"/>
            <w:tcBorders>
              <w:top w:val="nil"/>
              <w:left w:val="nil"/>
              <w:bottom w:val="single" w:sz="4" w:space="0" w:color="auto"/>
              <w:right w:val="nil"/>
            </w:tcBorders>
            <w:vAlign w:val="bottom"/>
          </w:tcPr>
          <w:p w:rsidR="00C255FA" w:rsidRPr="00157A90" w:rsidRDefault="00C255FA" w:rsidP="00303543">
            <w:pPr>
              <w:spacing w:after="0"/>
              <w:rPr>
                <w:rFonts w:ascii="Times New Roman" w:hAnsi="Times New Roman"/>
                <w:color w:val="000000"/>
                <w:lang w:eastAsia="pt-BR"/>
              </w:rPr>
            </w:pPr>
            <w:r w:rsidRPr="00157A90">
              <w:rPr>
                <w:rFonts w:ascii="Times New Roman" w:hAnsi="Times New Roman"/>
                <w:color w:val="000000"/>
                <w:lang w:eastAsia="pt-BR"/>
              </w:rPr>
              <w:t>Área (ha) PB</w:t>
            </w:r>
          </w:p>
        </w:tc>
      </w:tr>
    </w:tbl>
    <w:p w:rsidR="00C255FA" w:rsidRDefault="00C255FA" w:rsidP="00587D2D">
      <w:pPr>
        <w:spacing w:after="0" w:line="360" w:lineRule="auto"/>
        <w:jc w:val="both"/>
        <w:rPr>
          <w:rFonts w:ascii="Times New Roman" w:hAnsi="Times New Roman"/>
          <w:bCs/>
          <w:iCs/>
        </w:rPr>
      </w:pPr>
      <w:r w:rsidRPr="00440BA4">
        <w:rPr>
          <w:rFonts w:ascii="Times New Roman" w:hAnsi="Times New Roman"/>
          <w:bCs/>
          <w:iCs/>
        </w:rPr>
        <w:t>Fonte</w:t>
      </w:r>
      <w:r w:rsidRPr="00FE0EEE">
        <w:rPr>
          <w:rFonts w:ascii="Times New Roman" w:hAnsi="Times New Roman"/>
          <w:bCs/>
          <w:iCs/>
        </w:rPr>
        <w:t>: Censo Agropecuár</w:t>
      </w:r>
      <w:r>
        <w:rPr>
          <w:rFonts w:ascii="Times New Roman" w:hAnsi="Times New Roman"/>
          <w:bCs/>
          <w:iCs/>
        </w:rPr>
        <w:t>io familiar 2006. Organização da autora</w:t>
      </w:r>
    </w:p>
    <w:p w:rsidR="00C255FA" w:rsidRDefault="00C255FA" w:rsidP="00587D2D">
      <w:pPr>
        <w:spacing w:after="0" w:line="360" w:lineRule="auto"/>
        <w:jc w:val="both"/>
        <w:rPr>
          <w:rFonts w:ascii="Times New Roman" w:hAnsi="Times New Roman"/>
          <w:color w:val="000000"/>
          <w:szCs w:val="24"/>
          <w:lang w:eastAsia="pt-BR"/>
        </w:rPr>
      </w:pPr>
    </w:p>
    <w:p w:rsidR="00C255FA" w:rsidRPr="00B544BD" w:rsidRDefault="00C255FA" w:rsidP="00181AA3">
      <w:pPr>
        <w:spacing w:after="0" w:line="360" w:lineRule="auto"/>
        <w:ind w:firstLine="567"/>
        <w:jc w:val="both"/>
        <w:rPr>
          <w:rFonts w:ascii="Times New Roman" w:hAnsi="Times New Roman"/>
          <w:color w:val="000000"/>
          <w:sz w:val="24"/>
        </w:rPr>
      </w:pPr>
      <w:r w:rsidRPr="00650025">
        <w:rPr>
          <w:rFonts w:ascii="Times New Roman" w:hAnsi="Times New Roman"/>
          <w:sz w:val="24"/>
        </w:rPr>
        <w:t xml:space="preserve">O Brasil possui atualmente </w:t>
      </w:r>
      <w:proofErr w:type="gramStart"/>
      <w:r w:rsidRPr="00650025">
        <w:rPr>
          <w:rFonts w:ascii="Times New Roman" w:hAnsi="Times New Roman"/>
          <w:sz w:val="24"/>
        </w:rPr>
        <w:t>5</w:t>
      </w:r>
      <w:proofErr w:type="gramEnd"/>
      <w:r w:rsidRPr="00650025">
        <w:rPr>
          <w:rFonts w:ascii="Times New Roman" w:hAnsi="Times New Roman"/>
          <w:sz w:val="24"/>
        </w:rPr>
        <w:t>. 175.489 estabelecimentos agropecuários, destes, 4.367.902 são estabelecimentos familiares e 807.587 são estabelecimentos não familiares, ou seja, o número de estabelecimentos familiares, que produzem policulturas, primordialmente gêneros alimentícios de primeira necessidade, são mais de 500% em relação aos não familiares que produzem monoculturas para o agronegócio, referente à área por hectare a situação é ainda mais contundente, pois os estabe</w:t>
      </w:r>
      <w:r>
        <w:rPr>
          <w:rFonts w:ascii="Times New Roman" w:hAnsi="Times New Roman"/>
          <w:sz w:val="24"/>
        </w:rPr>
        <w:t>lecimentos familiares no Brasil</w:t>
      </w:r>
      <w:r w:rsidRPr="00650025">
        <w:rPr>
          <w:rFonts w:ascii="Times New Roman" w:hAnsi="Times New Roman"/>
          <w:sz w:val="24"/>
        </w:rPr>
        <w:t xml:space="preserve"> ocupam apenas 24,33% do total de área por hectare, enquanto os estabelecimentos não familiares ocupam 75,67% do total da área por hectare, já na Paraíba o número de estabelecimento é da ordem de 167.272 estabelecimentos agropecuários, dos quais 148.077 são familiares e 19.195 são </w:t>
      </w:r>
      <w:r w:rsidRPr="00650025">
        <w:rPr>
          <w:rFonts w:ascii="Times New Roman" w:hAnsi="Times New Roman"/>
          <w:sz w:val="24"/>
        </w:rPr>
        <w:lastRenderedPageBreak/>
        <w:t xml:space="preserve">estabelecimentos não familiares, os 19. 175 estabelecimentos não familiares ocupam 88,52% de área por hectare enquanto os 148.077 estabelecimentos familiares ocupam apenas 11,48% de área por hectare. São os contrastes estabelecidos no campo brasileiro e paraibano, pelo agronegócio sob o viés do capital. </w:t>
      </w:r>
      <w:r>
        <w:rPr>
          <w:rFonts w:ascii="Times New Roman" w:hAnsi="Times New Roman"/>
          <w:sz w:val="24"/>
        </w:rPr>
        <w:t>Este modelo agrário fabrica amiúde uma sociedade de classes com diferenças agressivas,</w:t>
      </w:r>
      <w:r w:rsidRPr="00B544BD">
        <w:rPr>
          <w:rFonts w:ascii="Times New Roman" w:hAnsi="Times New Roman"/>
          <w:color w:val="000000"/>
          <w:sz w:val="24"/>
        </w:rPr>
        <w:t xml:space="preserve"> promovendo exclusões territoriais contundentes, o que faz com que as ações do MST no estado paraibano sejam legítimas, pois não se constrói um estado ou um país sem equidade social.</w:t>
      </w:r>
    </w:p>
    <w:p w:rsidR="00C255FA" w:rsidRDefault="00C255FA" w:rsidP="00356BF0">
      <w:pPr>
        <w:spacing w:after="0" w:line="360" w:lineRule="auto"/>
        <w:ind w:firstLine="567"/>
        <w:jc w:val="both"/>
        <w:rPr>
          <w:rFonts w:ascii="Times New Roman" w:hAnsi="Times New Roman"/>
          <w:color w:val="000000"/>
          <w:sz w:val="24"/>
          <w:szCs w:val="24"/>
          <w:lang w:eastAsia="pt-BR"/>
        </w:rPr>
      </w:pPr>
      <w:r w:rsidRPr="00ED1B9C">
        <w:rPr>
          <w:rFonts w:ascii="Times New Roman" w:hAnsi="Times New Roman"/>
          <w:color w:val="000000"/>
          <w:sz w:val="24"/>
          <w:szCs w:val="24"/>
          <w:lang w:eastAsia="pt-BR"/>
        </w:rPr>
        <w:t>Em virtude disto ressaltamos a importânc</w:t>
      </w:r>
      <w:r w:rsidRPr="00181AA3">
        <w:rPr>
          <w:rFonts w:ascii="Times New Roman" w:hAnsi="Times New Roman"/>
          <w:color w:val="000000"/>
          <w:sz w:val="24"/>
          <w:szCs w:val="24"/>
          <w:lang w:eastAsia="pt-BR"/>
        </w:rPr>
        <w:t>ia da atuação do MST na Paraíba e, consequentemente no Brasil, para pressionar o Estado brasileiro a realizar a tão esperada reforma agrária, todavia, que esta ocorra de forma efetiva e não nos moldes que vem sendo realizada até hoje.</w:t>
      </w:r>
    </w:p>
    <w:p w:rsidR="00C255FA" w:rsidRDefault="00C255FA" w:rsidP="00356BF0">
      <w:pPr>
        <w:spacing w:after="0" w:line="360" w:lineRule="auto"/>
        <w:ind w:firstLine="567"/>
        <w:jc w:val="both"/>
        <w:rPr>
          <w:rFonts w:ascii="Times New Roman" w:hAnsi="Times New Roman"/>
          <w:b/>
          <w:sz w:val="28"/>
        </w:rPr>
      </w:pPr>
    </w:p>
    <w:p w:rsidR="00C255FA" w:rsidRPr="00317AE6" w:rsidRDefault="00C255FA" w:rsidP="003A6266">
      <w:pPr>
        <w:spacing w:after="0" w:line="360" w:lineRule="auto"/>
        <w:jc w:val="both"/>
        <w:rPr>
          <w:rFonts w:ascii="Times New Roman" w:hAnsi="Times New Roman"/>
          <w:b/>
          <w:sz w:val="28"/>
        </w:rPr>
      </w:pPr>
      <w:r w:rsidRPr="00317AE6">
        <w:rPr>
          <w:rFonts w:ascii="Times New Roman" w:hAnsi="Times New Roman"/>
          <w:b/>
          <w:sz w:val="28"/>
        </w:rPr>
        <w:t>Fundamentação teórica</w:t>
      </w:r>
    </w:p>
    <w:p w:rsidR="00C255FA" w:rsidRDefault="00C255FA" w:rsidP="003A6266">
      <w:pPr>
        <w:spacing w:after="0" w:line="360" w:lineRule="auto"/>
        <w:jc w:val="both"/>
        <w:rPr>
          <w:rFonts w:ascii="Times New Roman" w:hAnsi="Times New Roman"/>
          <w:sz w:val="24"/>
        </w:rPr>
      </w:pPr>
      <w:r>
        <w:rPr>
          <w:rFonts w:ascii="Times New Roman" w:hAnsi="Times New Roman"/>
          <w:sz w:val="24"/>
        </w:rPr>
        <w:t xml:space="preserve">          </w:t>
      </w:r>
      <w:r w:rsidRPr="00D97101">
        <w:rPr>
          <w:rFonts w:ascii="Times New Roman" w:hAnsi="Times New Roman"/>
          <w:sz w:val="24"/>
        </w:rPr>
        <w:t>O referencia</w:t>
      </w:r>
      <w:r>
        <w:rPr>
          <w:rFonts w:ascii="Times New Roman" w:hAnsi="Times New Roman"/>
          <w:sz w:val="24"/>
        </w:rPr>
        <w:t>l teórico baseia-se em análises realizadas por FERNANDES (2000) onde o autor desenvolve um estudo sobre movimentos sociais enquanto categoria geográfica; e MITIDIERO (2001) que aborda movimentos sociais como um conjunto de pessoas em luta por melhores condições de sobrevivência, pessoas estas que adquirem uma consciência relativamente coletiva no processo de construção da contestação e da luta, alavancada por um potencial de rebeldia desenvolvida no tempo da pressão, exploração e expropriação vividas por estes sujeitos.</w:t>
      </w:r>
    </w:p>
    <w:p w:rsidR="00C255FA" w:rsidRDefault="00C255FA" w:rsidP="00EE3C7C">
      <w:pPr>
        <w:spacing w:after="0" w:line="360" w:lineRule="auto"/>
        <w:jc w:val="both"/>
        <w:rPr>
          <w:rFonts w:ascii="Times New Roman" w:hAnsi="Times New Roman"/>
          <w:sz w:val="24"/>
          <w:szCs w:val="20"/>
        </w:rPr>
      </w:pPr>
      <w:r>
        <w:rPr>
          <w:rFonts w:ascii="Times New Roman" w:hAnsi="Times New Roman"/>
          <w:sz w:val="24"/>
        </w:rPr>
        <w:t xml:space="preserve">        O estudo em andamento objetiva endossar uma noção teórica que está em processo de construção e analises nas ciências humanas, o conceito de </w:t>
      </w:r>
      <w:r w:rsidRPr="006D53EA">
        <w:rPr>
          <w:rFonts w:ascii="Times New Roman" w:hAnsi="Times New Roman"/>
          <w:i/>
          <w:sz w:val="24"/>
        </w:rPr>
        <w:t>movimentos sociais</w:t>
      </w:r>
      <w:r>
        <w:rPr>
          <w:rFonts w:ascii="Times New Roman" w:hAnsi="Times New Roman"/>
          <w:i/>
          <w:sz w:val="24"/>
        </w:rPr>
        <w:t>¹</w:t>
      </w:r>
      <w:r>
        <w:rPr>
          <w:rFonts w:ascii="Times New Roman" w:hAnsi="Times New Roman"/>
          <w:sz w:val="24"/>
        </w:rPr>
        <w:t xml:space="preserve"> enquanto categoria geográfica. Este conceito busca a compreensão dos movimentos sociais enquanto veículo de transformação da estrutura fundiária brasileira, e vetor da </w:t>
      </w:r>
      <w:proofErr w:type="spellStart"/>
      <w:r>
        <w:rPr>
          <w:rFonts w:ascii="Times New Roman" w:hAnsi="Times New Roman"/>
          <w:sz w:val="24"/>
        </w:rPr>
        <w:t>des-territorialização</w:t>
      </w:r>
      <w:proofErr w:type="spellEnd"/>
      <w:r>
        <w:rPr>
          <w:rFonts w:ascii="Times New Roman" w:hAnsi="Times New Roman"/>
          <w:sz w:val="24"/>
        </w:rPr>
        <w:t xml:space="preserve"> do capital a partir da ocupação, acampamentos e articulações em prol da efetivação da reforma agrária e da recriação do </w:t>
      </w:r>
      <w:proofErr w:type="spellStart"/>
      <w:r>
        <w:rPr>
          <w:rFonts w:ascii="Times New Roman" w:hAnsi="Times New Roman"/>
          <w:sz w:val="24"/>
        </w:rPr>
        <w:t>campesinato</w:t>
      </w:r>
      <w:proofErr w:type="spellEnd"/>
      <w:r>
        <w:rPr>
          <w:rFonts w:ascii="Times New Roman" w:hAnsi="Times New Roman"/>
          <w:sz w:val="24"/>
        </w:rPr>
        <w:t>. Referente a este contexto Fernandes (2000) afirma que:</w:t>
      </w:r>
      <w:r w:rsidRPr="00EE3C7C">
        <w:rPr>
          <w:rFonts w:ascii="Times New Roman" w:hAnsi="Times New Roman"/>
          <w:sz w:val="20"/>
          <w:szCs w:val="20"/>
        </w:rPr>
        <w:t xml:space="preserve"> </w:t>
      </w:r>
      <w:r w:rsidRPr="00EE3C7C">
        <w:rPr>
          <w:rFonts w:ascii="Times New Roman" w:hAnsi="Times New Roman"/>
          <w:sz w:val="24"/>
          <w:szCs w:val="20"/>
        </w:rPr>
        <w:t xml:space="preserve">Os movimentos sociais constroem </w:t>
      </w:r>
      <w:r>
        <w:rPr>
          <w:rFonts w:ascii="Times New Roman" w:hAnsi="Times New Roman"/>
          <w:sz w:val="24"/>
          <w:szCs w:val="20"/>
        </w:rPr>
        <w:t>estruturas</w:t>
      </w:r>
      <w:r w:rsidRPr="00EE3C7C">
        <w:rPr>
          <w:rFonts w:ascii="Times New Roman" w:hAnsi="Times New Roman"/>
          <w:sz w:val="24"/>
          <w:szCs w:val="20"/>
        </w:rPr>
        <w:t>, desenvolvem processos</w:t>
      </w:r>
      <w:r>
        <w:rPr>
          <w:rFonts w:ascii="Times New Roman" w:hAnsi="Times New Roman"/>
          <w:sz w:val="24"/>
          <w:szCs w:val="20"/>
        </w:rPr>
        <w:t>,</w:t>
      </w:r>
      <w:r w:rsidRPr="00EE3C7C">
        <w:rPr>
          <w:rFonts w:ascii="Times New Roman" w:hAnsi="Times New Roman"/>
          <w:sz w:val="24"/>
          <w:szCs w:val="20"/>
        </w:rPr>
        <w:t xml:space="preserve"> organizam e dominam território das mais diversas formas</w:t>
      </w:r>
      <w:r>
        <w:rPr>
          <w:rFonts w:ascii="Times New Roman" w:hAnsi="Times New Roman"/>
          <w:sz w:val="24"/>
          <w:szCs w:val="20"/>
        </w:rPr>
        <w:t xml:space="preserve">.      Diante destas circunstâncias a Paraíba se insere nesse cenário a partir da atuação do MST/PB que imprime ao contexto rural paraibano uma nova estruturação, embora pouco significativa se levarmos em consideração a atuação do capital neste estado. </w:t>
      </w:r>
    </w:p>
    <w:p w:rsidR="00C255FA" w:rsidRDefault="00C255FA" w:rsidP="00CE4ED9">
      <w:pPr>
        <w:pStyle w:val="Textodenotaderodap"/>
        <w:jc w:val="both"/>
        <w:rPr>
          <w:rFonts w:ascii="Times New Roman" w:hAnsi="Times New Roman"/>
        </w:rPr>
      </w:pPr>
    </w:p>
    <w:p w:rsidR="00C255FA" w:rsidRPr="00B544BD" w:rsidRDefault="00C255FA" w:rsidP="00CE4ED9">
      <w:pPr>
        <w:pStyle w:val="Textodenotaderodap"/>
        <w:jc w:val="both"/>
        <w:rPr>
          <w:rFonts w:ascii="Times New Roman" w:hAnsi="Times New Roman"/>
          <w:color w:val="000000"/>
        </w:rPr>
      </w:pPr>
      <w:r w:rsidRPr="003C0347">
        <w:rPr>
          <w:rStyle w:val="Refdenotaderodap"/>
          <w:rFonts w:ascii="Times New Roman" w:hAnsi="Times New Roman"/>
        </w:rPr>
        <w:footnoteRef/>
      </w:r>
      <w:r w:rsidRPr="003C0347">
        <w:rPr>
          <w:rFonts w:ascii="Times New Roman" w:hAnsi="Times New Roman"/>
        </w:rPr>
        <w:t xml:space="preserve"> Fernandes, </w:t>
      </w:r>
      <w:r w:rsidRPr="00B544BD">
        <w:rPr>
          <w:rFonts w:ascii="Times New Roman" w:hAnsi="Times New Roman"/>
          <w:color w:val="000000"/>
        </w:rPr>
        <w:t>2000.</w:t>
      </w:r>
    </w:p>
    <w:p w:rsidR="00C255FA" w:rsidRPr="00B544BD" w:rsidRDefault="00C255FA" w:rsidP="00EE3C7C">
      <w:pPr>
        <w:spacing w:after="0" w:line="360" w:lineRule="auto"/>
        <w:jc w:val="both"/>
        <w:rPr>
          <w:rFonts w:ascii="Times New Roman" w:hAnsi="Times New Roman"/>
          <w:color w:val="000000"/>
          <w:sz w:val="24"/>
          <w:szCs w:val="20"/>
        </w:rPr>
      </w:pPr>
    </w:p>
    <w:p w:rsidR="00C255FA" w:rsidRDefault="00C255FA" w:rsidP="00EE3C7C">
      <w:pPr>
        <w:spacing w:after="0" w:line="360" w:lineRule="auto"/>
        <w:jc w:val="both"/>
        <w:rPr>
          <w:rFonts w:ascii="Times New Roman" w:hAnsi="Times New Roman"/>
          <w:sz w:val="24"/>
          <w:szCs w:val="20"/>
        </w:rPr>
      </w:pPr>
      <w:r>
        <w:rPr>
          <w:rFonts w:ascii="Times New Roman" w:hAnsi="Times New Roman"/>
          <w:sz w:val="24"/>
          <w:szCs w:val="20"/>
        </w:rPr>
        <w:lastRenderedPageBreak/>
        <w:t>Todavia, o Movimento dos Trabalhadores Rurais sem Terra atuam de modo a redirecionar o processo de ocupação e utilização de terras para que esta possa cumprir a sua função social, ou seja, produzir alimentos. De modo que esta conjuntura justifica a atuação do Movimento dos Trabalhadores Rurais sem Terra, que é primordial para a recriação e reprodução da classe camponesa.</w:t>
      </w:r>
    </w:p>
    <w:p w:rsidR="00C255FA" w:rsidRDefault="00C255FA" w:rsidP="00EE3C7C">
      <w:pPr>
        <w:spacing w:after="0" w:line="360" w:lineRule="auto"/>
        <w:jc w:val="both"/>
        <w:rPr>
          <w:rFonts w:ascii="Times New Roman" w:hAnsi="Times New Roman"/>
          <w:sz w:val="24"/>
          <w:szCs w:val="20"/>
        </w:rPr>
      </w:pPr>
    </w:p>
    <w:p w:rsidR="00C255FA" w:rsidRPr="00977B7F" w:rsidRDefault="00C255FA" w:rsidP="006B4286">
      <w:pPr>
        <w:spacing w:line="360" w:lineRule="auto"/>
        <w:jc w:val="both"/>
        <w:rPr>
          <w:rFonts w:ascii="Times New Roman" w:hAnsi="Times New Roman"/>
          <w:b/>
          <w:bCs/>
          <w:iCs/>
          <w:sz w:val="24"/>
          <w:szCs w:val="24"/>
        </w:rPr>
      </w:pPr>
      <w:r w:rsidRPr="00977B7F">
        <w:rPr>
          <w:rFonts w:ascii="Times New Roman" w:hAnsi="Times New Roman"/>
          <w:b/>
          <w:bCs/>
          <w:iCs/>
          <w:sz w:val="24"/>
          <w:szCs w:val="24"/>
        </w:rPr>
        <w:t>DESCRIÇÃO METODOLÓGIGA</w:t>
      </w:r>
    </w:p>
    <w:p w:rsidR="00C255FA" w:rsidRPr="009F4005" w:rsidRDefault="00C255FA" w:rsidP="006B4286">
      <w:pPr>
        <w:spacing w:line="360" w:lineRule="auto"/>
        <w:jc w:val="both"/>
        <w:rPr>
          <w:rFonts w:ascii="Times New Roman" w:hAnsi="Times New Roman"/>
          <w:sz w:val="24"/>
          <w:szCs w:val="24"/>
        </w:rPr>
      </w:pPr>
      <w:r w:rsidRPr="009F4005">
        <w:rPr>
          <w:rFonts w:ascii="Times New Roman" w:hAnsi="Times New Roman"/>
          <w:bCs/>
          <w:iCs/>
          <w:sz w:val="24"/>
          <w:szCs w:val="24"/>
        </w:rPr>
        <w:t>A atividade realizou-se com base em levantamento bibliográfico, análises teóricas, aprendizado em sala de aula</w:t>
      </w:r>
      <w:r>
        <w:rPr>
          <w:rFonts w:ascii="Times New Roman" w:hAnsi="Times New Roman"/>
          <w:bCs/>
          <w:iCs/>
          <w:sz w:val="24"/>
          <w:szCs w:val="24"/>
        </w:rPr>
        <w:t>, suporte aos discentes</w:t>
      </w:r>
      <w:r w:rsidRPr="009F4005">
        <w:rPr>
          <w:rFonts w:ascii="Times New Roman" w:hAnsi="Times New Roman"/>
          <w:bCs/>
          <w:iCs/>
          <w:sz w:val="24"/>
          <w:szCs w:val="24"/>
        </w:rPr>
        <w:t xml:space="preserve"> e ainda acompanhamento das ações do Movimento dos Trabalhadores Sem Terra, através desta análise objetiva-se construir um arquivo linear com a história de luta do MST na Paraíba desde a sua gênese até os dias atuais, enfatizando os r</w:t>
      </w:r>
      <w:r>
        <w:rPr>
          <w:rFonts w:ascii="Times New Roman" w:hAnsi="Times New Roman"/>
          <w:bCs/>
          <w:iCs/>
          <w:sz w:val="24"/>
          <w:szCs w:val="24"/>
        </w:rPr>
        <w:t>esultados e seus desdobramentos.</w:t>
      </w:r>
    </w:p>
    <w:p w:rsidR="00C255FA" w:rsidRPr="00B544BD" w:rsidRDefault="00C255FA" w:rsidP="0022626B">
      <w:pPr>
        <w:spacing w:after="0" w:line="360" w:lineRule="auto"/>
        <w:jc w:val="both"/>
        <w:rPr>
          <w:rFonts w:ascii="Times New Roman" w:hAnsi="Times New Roman"/>
          <w:color w:val="000000"/>
          <w:sz w:val="24"/>
          <w:lang w:eastAsia="pt-BR"/>
        </w:rPr>
      </w:pPr>
      <w:r w:rsidRPr="00632E6C">
        <w:rPr>
          <w:rFonts w:ascii="Times New Roman" w:hAnsi="Times New Roman"/>
          <w:b/>
          <w:sz w:val="24"/>
        </w:rPr>
        <w:t>CONSIDERAÇÕES FINAIS</w:t>
      </w:r>
    </w:p>
    <w:p w:rsidR="00C255FA" w:rsidRPr="00B544BD" w:rsidRDefault="00C255FA" w:rsidP="00433B04">
      <w:pPr>
        <w:spacing w:line="360" w:lineRule="auto"/>
        <w:jc w:val="both"/>
        <w:rPr>
          <w:rFonts w:ascii="Times New Roman" w:hAnsi="Times New Roman"/>
          <w:b/>
          <w:color w:val="000000"/>
          <w:sz w:val="24"/>
        </w:rPr>
      </w:pPr>
      <w:r w:rsidRPr="00B544BD">
        <w:rPr>
          <w:rFonts w:ascii="Times New Roman" w:hAnsi="Times New Roman"/>
          <w:color w:val="000000"/>
          <w:sz w:val="24"/>
        </w:rPr>
        <w:t xml:space="preserve">Em virtude da concentração fundiária que perdura no estado paraibano e no país e da reforma agrária ser pauta esquecida na agenda do governo federal, constatou-se que o </w:t>
      </w:r>
      <w:r w:rsidRPr="0022626B">
        <w:rPr>
          <w:rFonts w:ascii="Times New Roman" w:hAnsi="Times New Roman"/>
          <w:color w:val="000000"/>
          <w:sz w:val="24"/>
        </w:rPr>
        <w:t xml:space="preserve">Movimento dos Trabalhadores Rurais sem Terra (MST) da Paraíba </w:t>
      </w:r>
      <w:r w:rsidRPr="00B544BD">
        <w:rPr>
          <w:rFonts w:ascii="Times New Roman" w:hAnsi="Times New Roman"/>
          <w:color w:val="000000"/>
          <w:sz w:val="24"/>
        </w:rPr>
        <w:t xml:space="preserve">tem objetivos definidos, promover transformações profundas no cenário agrário paraibano a partir da sua atuação dinâmica em uma luta incessante. </w:t>
      </w:r>
      <w:r w:rsidRPr="009F4005">
        <w:rPr>
          <w:rFonts w:ascii="Times New Roman" w:hAnsi="Times New Roman"/>
          <w:sz w:val="24"/>
          <w:szCs w:val="24"/>
        </w:rPr>
        <w:t>Diante do exposto conclui-se que: a monitoria é uma modalidade de aprendizagem que contempla todos os atores envolvidos neste processo, contribuindo sobremaneira com</w:t>
      </w:r>
      <w:r>
        <w:rPr>
          <w:rFonts w:ascii="Times New Roman" w:hAnsi="Times New Roman"/>
          <w:sz w:val="24"/>
          <w:szCs w:val="24"/>
        </w:rPr>
        <w:t xml:space="preserve"> a</w:t>
      </w:r>
      <w:r w:rsidRPr="009F4005">
        <w:rPr>
          <w:rFonts w:ascii="Times New Roman" w:hAnsi="Times New Roman"/>
          <w:sz w:val="24"/>
          <w:szCs w:val="24"/>
        </w:rPr>
        <w:t xml:space="preserve"> solidificação do aprendizado, figurando com relevância impar, tanto para o monitor, que potencializa os</w:t>
      </w:r>
      <w:r>
        <w:rPr>
          <w:rFonts w:ascii="Times New Roman" w:hAnsi="Times New Roman"/>
          <w:sz w:val="24"/>
          <w:szCs w:val="24"/>
        </w:rPr>
        <w:t xml:space="preserve"> seus conhecimentos referentes à</w:t>
      </w:r>
      <w:r w:rsidRPr="009F4005">
        <w:rPr>
          <w:rFonts w:ascii="Times New Roman" w:hAnsi="Times New Roman"/>
          <w:sz w:val="24"/>
          <w:szCs w:val="24"/>
        </w:rPr>
        <w:t xml:space="preserve"> disciplina, quanto para os </w:t>
      </w:r>
      <w:proofErr w:type="spellStart"/>
      <w:r w:rsidRPr="009F4005">
        <w:rPr>
          <w:rFonts w:ascii="Times New Roman" w:hAnsi="Times New Roman"/>
          <w:sz w:val="24"/>
          <w:szCs w:val="24"/>
        </w:rPr>
        <w:t>educandos</w:t>
      </w:r>
      <w:proofErr w:type="spellEnd"/>
      <w:r w:rsidRPr="009F4005">
        <w:rPr>
          <w:rFonts w:ascii="Times New Roman" w:hAnsi="Times New Roman"/>
          <w:sz w:val="24"/>
          <w:szCs w:val="24"/>
        </w:rPr>
        <w:t xml:space="preserve"> que utilizam o monitor como suporte de aprendizagem.</w:t>
      </w:r>
    </w:p>
    <w:p w:rsidR="00C255FA" w:rsidRPr="00B544BD" w:rsidRDefault="00C255FA" w:rsidP="00632E6C">
      <w:pPr>
        <w:spacing w:after="0" w:line="360" w:lineRule="auto"/>
        <w:jc w:val="both"/>
        <w:rPr>
          <w:rFonts w:ascii="Times New Roman" w:hAnsi="Times New Roman"/>
          <w:b/>
          <w:color w:val="000000"/>
          <w:sz w:val="24"/>
        </w:rPr>
      </w:pPr>
      <w:r w:rsidRPr="00B544BD">
        <w:rPr>
          <w:rFonts w:ascii="Times New Roman" w:hAnsi="Times New Roman"/>
          <w:b/>
          <w:color w:val="000000"/>
          <w:sz w:val="24"/>
        </w:rPr>
        <w:t>REFERENCIAS BIBLIOGRÁFICAS</w:t>
      </w:r>
    </w:p>
    <w:p w:rsidR="00C255FA" w:rsidRDefault="00C255FA" w:rsidP="00632E6C">
      <w:pPr>
        <w:pStyle w:val="PargrafodaLista"/>
        <w:tabs>
          <w:tab w:val="left" w:pos="3969"/>
        </w:tabs>
        <w:spacing w:after="0" w:line="360" w:lineRule="auto"/>
        <w:ind w:left="57"/>
        <w:jc w:val="both"/>
        <w:rPr>
          <w:rFonts w:ascii="Times New Roman" w:hAnsi="Times New Roman"/>
          <w:color w:val="000000"/>
        </w:rPr>
      </w:pPr>
      <w:r w:rsidRPr="00113268">
        <w:rPr>
          <w:rFonts w:ascii="Times New Roman" w:hAnsi="Times New Roman"/>
          <w:color w:val="000000"/>
        </w:rPr>
        <w:t>FERNANDES, B</w:t>
      </w:r>
      <w:r>
        <w:rPr>
          <w:rFonts w:ascii="Times New Roman" w:hAnsi="Times New Roman"/>
          <w:color w:val="000000"/>
        </w:rPr>
        <w:t>ernardes</w:t>
      </w:r>
      <w:r w:rsidRPr="00113268">
        <w:rPr>
          <w:rFonts w:ascii="Times New Roman" w:hAnsi="Times New Roman"/>
          <w:color w:val="000000"/>
        </w:rPr>
        <w:t>.</w:t>
      </w:r>
      <w:r>
        <w:rPr>
          <w:rFonts w:ascii="Times New Roman" w:hAnsi="Times New Roman"/>
          <w:color w:val="000000"/>
        </w:rPr>
        <w:t xml:space="preserve"> </w:t>
      </w:r>
      <w:proofErr w:type="spellStart"/>
      <w:r w:rsidRPr="00113268">
        <w:rPr>
          <w:rFonts w:ascii="Times New Roman" w:hAnsi="Times New Roman"/>
          <w:color w:val="000000"/>
        </w:rPr>
        <w:t>M</w:t>
      </w:r>
      <w:r>
        <w:rPr>
          <w:rFonts w:ascii="Times New Roman" w:hAnsi="Times New Roman"/>
          <w:color w:val="000000"/>
        </w:rPr>
        <w:t>ançano</w:t>
      </w:r>
      <w:proofErr w:type="spellEnd"/>
      <w:r w:rsidRPr="00113268">
        <w:rPr>
          <w:rFonts w:ascii="Times New Roman" w:hAnsi="Times New Roman"/>
          <w:color w:val="000000"/>
        </w:rPr>
        <w:t xml:space="preserve">. </w:t>
      </w:r>
      <w:r w:rsidRPr="00113268">
        <w:rPr>
          <w:rFonts w:ascii="Times New Roman" w:hAnsi="Times New Roman"/>
          <w:b/>
          <w:color w:val="000000"/>
        </w:rPr>
        <w:t>A Questão Agrária, pesquisa e MST</w:t>
      </w:r>
      <w:r w:rsidRPr="00113268">
        <w:rPr>
          <w:rFonts w:ascii="Times New Roman" w:hAnsi="Times New Roman"/>
          <w:color w:val="000000"/>
        </w:rPr>
        <w:t>. São Paulo, Cortez, 2000. (atualiza</w:t>
      </w:r>
      <w:r>
        <w:rPr>
          <w:rFonts w:ascii="Times New Roman" w:hAnsi="Times New Roman"/>
          <w:color w:val="000000"/>
        </w:rPr>
        <w:t>ção</w:t>
      </w:r>
      <w:r w:rsidRPr="00113268">
        <w:rPr>
          <w:rFonts w:ascii="Times New Roman" w:hAnsi="Times New Roman"/>
          <w:color w:val="000000"/>
        </w:rPr>
        <w:t xml:space="preserve"> Terra Livre, 15, 2000).</w:t>
      </w:r>
    </w:p>
    <w:p w:rsidR="00C255FA" w:rsidRDefault="00C255FA" w:rsidP="00632E6C">
      <w:pPr>
        <w:autoSpaceDE w:val="0"/>
        <w:autoSpaceDN w:val="0"/>
        <w:adjustRightInd w:val="0"/>
        <w:spacing w:after="0" w:line="360" w:lineRule="auto"/>
        <w:jc w:val="both"/>
        <w:rPr>
          <w:rFonts w:ascii="Times New Roman" w:hAnsi="Times New Roman"/>
        </w:rPr>
      </w:pPr>
      <w:r w:rsidRPr="00113268">
        <w:rPr>
          <w:rFonts w:ascii="Times New Roman" w:hAnsi="Times New Roman"/>
          <w:color w:val="000000"/>
        </w:rPr>
        <w:t xml:space="preserve">IBGE. </w:t>
      </w:r>
      <w:r w:rsidRPr="00113268">
        <w:rPr>
          <w:rFonts w:ascii="Times New Roman" w:hAnsi="Times New Roman"/>
          <w:b/>
          <w:bCs/>
          <w:color w:val="000000"/>
        </w:rPr>
        <w:t>Censo Agropecuário</w:t>
      </w:r>
      <w:r>
        <w:rPr>
          <w:rFonts w:ascii="Times New Roman" w:hAnsi="Times New Roman"/>
          <w:b/>
          <w:bCs/>
          <w:color w:val="000000"/>
        </w:rPr>
        <w:t xml:space="preserve"> Familiar</w:t>
      </w:r>
      <w:r w:rsidRPr="00113268">
        <w:rPr>
          <w:rFonts w:ascii="Times New Roman" w:hAnsi="Times New Roman"/>
          <w:b/>
          <w:bCs/>
          <w:color w:val="000000"/>
        </w:rPr>
        <w:t xml:space="preserve"> </w:t>
      </w:r>
      <w:r w:rsidRPr="00113268">
        <w:rPr>
          <w:rFonts w:ascii="Times New Roman" w:hAnsi="Times New Roman"/>
        </w:rPr>
        <w:t>2006, Paraíba.</w:t>
      </w:r>
    </w:p>
    <w:p w:rsidR="00C255FA" w:rsidRDefault="00C255FA" w:rsidP="00BA1C43">
      <w:pPr>
        <w:rPr>
          <w:rFonts w:ascii="Times New Roman" w:hAnsi="Times New Roman"/>
          <w:sz w:val="24"/>
          <w:szCs w:val="24"/>
        </w:rPr>
      </w:pPr>
      <w:r>
        <w:rPr>
          <w:rFonts w:ascii="Times New Roman" w:hAnsi="Times New Roman"/>
          <w:sz w:val="24"/>
          <w:szCs w:val="24"/>
        </w:rPr>
        <w:t>OLIVEIRA, Ariovaldo Umbelino</w:t>
      </w:r>
      <w:r w:rsidRPr="007558E1">
        <w:rPr>
          <w:rFonts w:ascii="Times New Roman" w:hAnsi="Times New Roman"/>
          <w:sz w:val="24"/>
          <w:szCs w:val="24"/>
        </w:rPr>
        <w:t>.</w:t>
      </w:r>
      <w:r>
        <w:rPr>
          <w:rFonts w:ascii="Times New Roman" w:hAnsi="Times New Roman"/>
          <w:sz w:val="24"/>
          <w:szCs w:val="24"/>
        </w:rPr>
        <w:t xml:space="preserve"> </w:t>
      </w:r>
      <w:r w:rsidRPr="00BA1C43">
        <w:rPr>
          <w:rFonts w:ascii="Times New Roman" w:hAnsi="Times New Roman"/>
          <w:b/>
          <w:sz w:val="24"/>
          <w:szCs w:val="24"/>
        </w:rPr>
        <w:t>O Século XXI e os conflitos no campo</w:t>
      </w:r>
      <w:r>
        <w:rPr>
          <w:rFonts w:ascii="Times New Roman" w:hAnsi="Times New Roman"/>
          <w:sz w:val="24"/>
          <w:szCs w:val="24"/>
        </w:rPr>
        <w:t>: modernidade e barbárie. Goiânia In</w:t>
      </w:r>
      <w:proofErr w:type="gramStart"/>
      <w:r>
        <w:rPr>
          <w:rFonts w:ascii="Times New Roman" w:hAnsi="Times New Roman"/>
          <w:sz w:val="24"/>
          <w:szCs w:val="24"/>
        </w:rPr>
        <w:t>.:</w:t>
      </w:r>
      <w:proofErr w:type="gramEnd"/>
      <w:r>
        <w:rPr>
          <w:rFonts w:ascii="Times New Roman" w:hAnsi="Times New Roman"/>
          <w:sz w:val="24"/>
          <w:szCs w:val="24"/>
        </w:rPr>
        <w:t xml:space="preserve"> Conflitos no campo do Brasil, CPT/Ed. Loyola, 2002</w:t>
      </w:r>
    </w:p>
    <w:p w:rsidR="00C255FA" w:rsidRDefault="00C255FA" w:rsidP="00BA1C43">
      <w:pPr>
        <w:rPr>
          <w:rFonts w:ascii="Times New Roman" w:hAnsi="Times New Roman"/>
          <w:color w:val="000000"/>
          <w:sz w:val="24"/>
          <w:szCs w:val="24"/>
        </w:rPr>
      </w:pPr>
      <w:r w:rsidRPr="00E96B46">
        <w:rPr>
          <w:rFonts w:ascii="Times New Roman" w:hAnsi="Times New Roman"/>
          <w:color w:val="000000"/>
          <w:sz w:val="24"/>
          <w:szCs w:val="24"/>
        </w:rPr>
        <w:t>M</w:t>
      </w:r>
      <w:r>
        <w:rPr>
          <w:rFonts w:ascii="Times New Roman" w:hAnsi="Times New Roman"/>
          <w:color w:val="000000"/>
          <w:sz w:val="24"/>
          <w:szCs w:val="24"/>
        </w:rPr>
        <w:t>ITIDIERO</w:t>
      </w:r>
      <w:r w:rsidRPr="00E96B46">
        <w:rPr>
          <w:rFonts w:ascii="Times New Roman" w:hAnsi="Times New Roman"/>
          <w:color w:val="000000"/>
          <w:sz w:val="24"/>
          <w:szCs w:val="24"/>
        </w:rPr>
        <w:t>, Marco Antonio Junior.</w:t>
      </w:r>
      <w:r>
        <w:rPr>
          <w:rFonts w:ascii="Times New Roman" w:hAnsi="Times New Roman"/>
          <w:color w:val="000000"/>
          <w:sz w:val="24"/>
          <w:szCs w:val="24"/>
        </w:rPr>
        <w:t xml:space="preserve"> </w:t>
      </w:r>
      <w:r>
        <w:rPr>
          <w:rFonts w:ascii="Times New Roman" w:hAnsi="Times New Roman"/>
          <w:b/>
          <w:color w:val="000000"/>
          <w:sz w:val="24"/>
          <w:szCs w:val="24"/>
        </w:rPr>
        <w:t xml:space="preserve">A AGRICULTURA CAPITALISTA NO BRASIL </w:t>
      </w:r>
      <w:proofErr w:type="spellStart"/>
      <w:r>
        <w:rPr>
          <w:rFonts w:ascii="Times New Roman" w:hAnsi="Times New Roman"/>
          <w:color w:val="000000"/>
          <w:sz w:val="24"/>
          <w:szCs w:val="24"/>
        </w:rPr>
        <w:t>Territorialização</w:t>
      </w:r>
      <w:proofErr w:type="spellEnd"/>
      <w:r>
        <w:rPr>
          <w:rFonts w:ascii="Times New Roman" w:hAnsi="Times New Roman"/>
          <w:color w:val="000000"/>
          <w:sz w:val="24"/>
          <w:szCs w:val="24"/>
        </w:rPr>
        <w:t>: conceito explicativo da luta pela terra</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KLEPSIDRA 2001</w:t>
      </w:r>
    </w:p>
    <w:sectPr w:rsidR="00C255FA" w:rsidSect="00C56E79">
      <w:headerReference w:type="default" r:id="rId9"/>
      <w:pgSz w:w="11906" w:h="16838"/>
      <w:pgMar w:top="1417" w:right="1701" w:bottom="1417"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5FA" w:rsidRDefault="00C255FA" w:rsidP="00C8008A">
      <w:pPr>
        <w:spacing w:after="0" w:line="240" w:lineRule="auto"/>
      </w:pPr>
      <w:r>
        <w:separator/>
      </w:r>
    </w:p>
  </w:endnote>
  <w:endnote w:type="continuationSeparator" w:id="0">
    <w:p w:rsidR="00C255FA" w:rsidRDefault="00C255FA" w:rsidP="00C80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FA" w:rsidRDefault="00F915A7" w:rsidP="00AF4C08">
    <w:pPr>
      <w:pStyle w:val="Rodap"/>
      <w:framePr w:wrap="around" w:vAnchor="text" w:hAnchor="margin" w:xAlign="right" w:y="1"/>
      <w:rPr>
        <w:rStyle w:val="Nmerodepgina"/>
      </w:rPr>
    </w:pPr>
    <w:r>
      <w:rPr>
        <w:rStyle w:val="Nmerodepgina"/>
      </w:rPr>
      <w:fldChar w:fldCharType="begin"/>
    </w:r>
    <w:r w:rsidR="00C255FA">
      <w:rPr>
        <w:rStyle w:val="Nmerodepgina"/>
      </w:rPr>
      <w:instrText xml:space="preserve">PAGE  </w:instrText>
    </w:r>
    <w:r>
      <w:rPr>
        <w:rStyle w:val="Nmerodepgina"/>
      </w:rPr>
      <w:fldChar w:fldCharType="end"/>
    </w:r>
  </w:p>
  <w:p w:rsidR="00C255FA" w:rsidRDefault="00C255FA" w:rsidP="00977B7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FA" w:rsidRPr="00977B7F" w:rsidRDefault="00F915A7" w:rsidP="00AF4C08">
    <w:pPr>
      <w:pStyle w:val="Rodap"/>
      <w:framePr w:wrap="around" w:vAnchor="text" w:hAnchor="margin" w:xAlign="right" w:y="1"/>
      <w:rPr>
        <w:rStyle w:val="Nmerodepgina"/>
        <w:rFonts w:ascii="Times New Roman" w:hAnsi="Times New Roman"/>
      </w:rPr>
    </w:pPr>
    <w:r w:rsidRPr="00977B7F">
      <w:rPr>
        <w:rStyle w:val="Nmerodepgina"/>
        <w:rFonts w:ascii="Times New Roman" w:hAnsi="Times New Roman"/>
      </w:rPr>
      <w:fldChar w:fldCharType="begin"/>
    </w:r>
    <w:r w:rsidR="00C255FA" w:rsidRPr="00977B7F">
      <w:rPr>
        <w:rStyle w:val="Nmerodepgina"/>
        <w:rFonts w:ascii="Times New Roman" w:hAnsi="Times New Roman"/>
      </w:rPr>
      <w:instrText xml:space="preserve">PAGE  </w:instrText>
    </w:r>
    <w:r w:rsidRPr="00977B7F">
      <w:rPr>
        <w:rStyle w:val="Nmerodepgina"/>
        <w:rFonts w:ascii="Times New Roman" w:hAnsi="Times New Roman"/>
      </w:rPr>
      <w:fldChar w:fldCharType="separate"/>
    </w:r>
    <w:r w:rsidR="00444A39">
      <w:rPr>
        <w:rStyle w:val="Nmerodepgina"/>
        <w:rFonts w:ascii="Times New Roman" w:hAnsi="Times New Roman"/>
        <w:noProof/>
      </w:rPr>
      <w:t>5</w:t>
    </w:r>
    <w:r w:rsidRPr="00977B7F">
      <w:rPr>
        <w:rStyle w:val="Nmerodepgina"/>
        <w:rFonts w:ascii="Times New Roman" w:hAnsi="Times New Roman"/>
      </w:rPr>
      <w:fldChar w:fldCharType="end"/>
    </w:r>
  </w:p>
  <w:p w:rsidR="00C255FA" w:rsidRDefault="00C255FA" w:rsidP="00977B7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5FA" w:rsidRDefault="00C255FA" w:rsidP="00C8008A">
      <w:pPr>
        <w:spacing w:after="0" w:line="240" w:lineRule="auto"/>
      </w:pPr>
      <w:r>
        <w:separator/>
      </w:r>
    </w:p>
  </w:footnote>
  <w:footnote w:type="continuationSeparator" w:id="0">
    <w:p w:rsidR="00C255FA" w:rsidRDefault="00C255FA" w:rsidP="00C8008A">
      <w:pPr>
        <w:spacing w:after="0" w:line="240" w:lineRule="auto"/>
      </w:pPr>
      <w:r>
        <w:continuationSeparator/>
      </w:r>
    </w:p>
  </w:footnote>
  <w:footnote w:id="1">
    <w:p w:rsidR="00C255FA" w:rsidRDefault="00C255FA" w:rsidP="00136791">
      <w:pPr>
        <w:pStyle w:val="Textodenotaderodap"/>
      </w:pPr>
      <w:r w:rsidRPr="003C0347">
        <w:rPr>
          <w:rStyle w:val="Refdenotaderodap"/>
          <w:rFonts w:ascii="Times New Roman" w:hAnsi="Times New Roman"/>
        </w:rPr>
        <w:footnoteRef/>
      </w:r>
      <w:r w:rsidRPr="003C0347">
        <w:rPr>
          <w:rFonts w:ascii="Times New Roman" w:hAnsi="Times New Roman"/>
        </w:rPr>
        <w:t xml:space="preserve"> A cultura da cana-de-açúcar no Brasil é oriunda do período colonial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FA" w:rsidRDefault="00C255FA">
    <w:pPr>
      <w:pStyle w:val="Cabealho"/>
      <w:jc w:val="right"/>
    </w:pPr>
  </w:p>
  <w:p w:rsidR="00C255FA" w:rsidRDefault="00C255F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FA" w:rsidRDefault="00C255F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08A"/>
    <w:rsid w:val="0004452A"/>
    <w:rsid w:val="00044C75"/>
    <w:rsid w:val="0005752C"/>
    <w:rsid w:val="00063EFB"/>
    <w:rsid w:val="000717FF"/>
    <w:rsid w:val="00095051"/>
    <w:rsid w:val="000F523D"/>
    <w:rsid w:val="00112569"/>
    <w:rsid w:val="00113268"/>
    <w:rsid w:val="00116E76"/>
    <w:rsid w:val="00117B26"/>
    <w:rsid w:val="00120B3B"/>
    <w:rsid w:val="00133257"/>
    <w:rsid w:val="00136791"/>
    <w:rsid w:val="00157A90"/>
    <w:rsid w:val="00181AA3"/>
    <w:rsid w:val="00183D72"/>
    <w:rsid w:val="001A7F2B"/>
    <w:rsid w:val="001F7D2C"/>
    <w:rsid w:val="00201611"/>
    <w:rsid w:val="00204785"/>
    <w:rsid w:val="00211B48"/>
    <w:rsid w:val="0022626B"/>
    <w:rsid w:val="0022698D"/>
    <w:rsid w:val="002723D4"/>
    <w:rsid w:val="00277DD6"/>
    <w:rsid w:val="00287A7E"/>
    <w:rsid w:val="00303543"/>
    <w:rsid w:val="00317AE6"/>
    <w:rsid w:val="00346FD7"/>
    <w:rsid w:val="00356BF0"/>
    <w:rsid w:val="00357252"/>
    <w:rsid w:val="003A6266"/>
    <w:rsid w:val="003B33B2"/>
    <w:rsid w:val="003C00F5"/>
    <w:rsid w:val="003C0347"/>
    <w:rsid w:val="003C5E8D"/>
    <w:rsid w:val="003C6D61"/>
    <w:rsid w:val="003D5BC7"/>
    <w:rsid w:val="00400EBD"/>
    <w:rsid w:val="00433B04"/>
    <w:rsid w:val="00440BA4"/>
    <w:rsid w:val="00444A39"/>
    <w:rsid w:val="00467614"/>
    <w:rsid w:val="00477BE5"/>
    <w:rsid w:val="004D4A2F"/>
    <w:rsid w:val="00587D2D"/>
    <w:rsid w:val="005B0A9C"/>
    <w:rsid w:val="005C6A17"/>
    <w:rsid w:val="005D13E8"/>
    <w:rsid w:val="005D1F65"/>
    <w:rsid w:val="005E0341"/>
    <w:rsid w:val="006129EF"/>
    <w:rsid w:val="00632E6C"/>
    <w:rsid w:val="00650025"/>
    <w:rsid w:val="006627EF"/>
    <w:rsid w:val="0067388D"/>
    <w:rsid w:val="006930EE"/>
    <w:rsid w:val="006B182A"/>
    <w:rsid w:val="006B4286"/>
    <w:rsid w:val="006C4B46"/>
    <w:rsid w:val="006D33D2"/>
    <w:rsid w:val="006D53EA"/>
    <w:rsid w:val="00733B9F"/>
    <w:rsid w:val="00751ADA"/>
    <w:rsid w:val="007558E1"/>
    <w:rsid w:val="00766CD4"/>
    <w:rsid w:val="007B06F8"/>
    <w:rsid w:val="007C1451"/>
    <w:rsid w:val="007D6B70"/>
    <w:rsid w:val="007E7149"/>
    <w:rsid w:val="0083562A"/>
    <w:rsid w:val="008C7070"/>
    <w:rsid w:val="008D7A84"/>
    <w:rsid w:val="009150FA"/>
    <w:rsid w:val="00976902"/>
    <w:rsid w:val="00977B7F"/>
    <w:rsid w:val="009E6808"/>
    <w:rsid w:val="009F4005"/>
    <w:rsid w:val="00A5138F"/>
    <w:rsid w:val="00A54153"/>
    <w:rsid w:val="00AF4C08"/>
    <w:rsid w:val="00B4510D"/>
    <w:rsid w:val="00B544BD"/>
    <w:rsid w:val="00B853C6"/>
    <w:rsid w:val="00B91E27"/>
    <w:rsid w:val="00BA1C43"/>
    <w:rsid w:val="00BA592A"/>
    <w:rsid w:val="00BC0957"/>
    <w:rsid w:val="00BC5114"/>
    <w:rsid w:val="00C01018"/>
    <w:rsid w:val="00C255FA"/>
    <w:rsid w:val="00C56E79"/>
    <w:rsid w:val="00C63DB3"/>
    <w:rsid w:val="00C64835"/>
    <w:rsid w:val="00C7322E"/>
    <w:rsid w:val="00C8008A"/>
    <w:rsid w:val="00C92D55"/>
    <w:rsid w:val="00CD5CC5"/>
    <w:rsid w:val="00CE4ED9"/>
    <w:rsid w:val="00CF4698"/>
    <w:rsid w:val="00D603B0"/>
    <w:rsid w:val="00D73982"/>
    <w:rsid w:val="00D97101"/>
    <w:rsid w:val="00DD01E6"/>
    <w:rsid w:val="00DD32D0"/>
    <w:rsid w:val="00DE1C1A"/>
    <w:rsid w:val="00E0753B"/>
    <w:rsid w:val="00E144C3"/>
    <w:rsid w:val="00E56518"/>
    <w:rsid w:val="00E70267"/>
    <w:rsid w:val="00E8162A"/>
    <w:rsid w:val="00E96B46"/>
    <w:rsid w:val="00ED1B9C"/>
    <w:rsid w:val="00EE3C7C"/>
    <w:rsid w:val="00F34C32"/>
    <w:rsid w:val="00F6322E"/>
    <w:rsid w:val="00F915A7"/>
    <w:rsid w:val="00FC3A02"/>
    <w:rsid w:val="00FD2830"/>
    <w:rsid w:val="00FD318C"/>
    <w:rsid w:val="00FE0EEE"/>
    <w:rsid w:val="00FF38F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8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8008A"/>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8008A"/>
    <w:rPr>
      <w:rFonts w:cs="Times New Roman"/>
    </w:rPr>
  </w:style>
  <w:style w:type="paragraph" w:styleId="Rodap">
    <w:name w:val="footer"/>
    <w:basedOn w:val="Normal"/>
    <w:link w:val="RodapChar"/>
    <w:uiPriority w:val="99"/>
    <w:rsid w:val="00C8008A"/>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8008A"/>
    <w:rPr>
      <w:rFonts w:cs="Times New Roman"/>
    </w:rPr>
  </w:style>
  <w:style w:type="character" w:styleId="Forte">
    <w:name w:val="Strong"/>
    <w:basedOn w:val="Fontepargpadro"/>
    <w:uiPriority w:val="99"/>
    <w:qFormat/>
    <w:rsid w:val="00C8008A"/>
    <w:rPr>
      <w:rFonts w:cs="Times New Roman"/>
      <w:b/>
    </w:rPr>
  </w:style>
  <w:style w:type="paragraph" w:styleId="NormalWeb">
    <w:name w:val="Normal (Web)"/>
    <w:basedOn w:val="Normal"/>
    <w:uiPriority w:val="99"/>
    <w:rsid w:val="00C8008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blockemailwithname">
    <w:name w:val="blockemailwithname"/>
    <w:uiPriority w:val="99"/>
    <w:rsid w:val="00C8008A"/>
    <w:rPr>
      <w:rFonts w:ascii="Times New Roman" w:hAnsi="Times New Roman"/>
    </w:rPr>
  </w:style>
  <w:style w:type="character" w:styleId="Refdenotaderodap">
    <w:name w:val="footnote reference"/>
    <w:basedOn w:val="Fontepargpadro"/>
    <w:uiPriority w:val="99"/>
    <w:semiHidden/>
    <w:rsid w:val="00136791"/>
    <w:rPr>
      <w:rFonts w:cs="Times New Roman"/>
      <w:vertAlign w:val="superscript"/>
    </w:rPr>
  </w:style>
  <w:style w:type="paragraph" w:styleId="Textodenotaderodap">
    <w:name w:val="footnote text"/>
    <w:basedOn w:val="Normal"/>
    <w:link w:val="TextodenotaderodapChar"/>
    <w:uiPriority w:val="99"/>
    <w:semiHidden/>
    <w:rsid w:val="001367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36791"/>
    <w:rPr>
      <w:sz w:val="20"/>
    </w:rPr>
  </w:style>
  <w:style w:type="paragraph" w:styleId="PargrafodaLista">
    <w:name w:val="List Paragraph"/>
    <w:basedOn w:val="Normal"/>
    <w:uiPriority w:val="99"/>
    <w:qFormat/>
    <w:rsid w:val="00632E6C"/>
    <w:pPr>
      <w:ind w:left="720"/>
      <w:contextualSpacing/>
    </w:pPr>
  </w:style>
  <w:style w:type="paragraph" w:styleId="SemEspaamento">
    <w:name w:val="No Spacing"/>
    <w:uiPriority w:val="99"/>
    <w:qFormat/>
    <w:rsid w:val="00400EBD"/>
    <w:rPr>
      <w:lang w:eastAsia="en-US"/>
    </w:rPr>
  </w:style>
  <w:style w:type="character" w:styleId="Nmerodepgina">
    <w:name w:val="page number"/>
    <w:basedOn w:val="Fontepargpadro"/>
    <w:uiPriority w:val="99"/>
    <w:rsid w:val="00977B7F"/>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1542</Words>
  <Characters>8896</Characters>
  <Application>Microsoft Office Word</Application>
  <DocSecurity>0</DocSecurity>
  <Lines>74</Lines>
  <Paragraphs>20</Paragraphs>
  <ScaleCrop>false</ScaleCrop>
  <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cem01</cp:lastModifiedBy>
  <cp:revision>4</cp:revision>
  <dcterms:created xsi:type="dcterms:W3CDTF">2013-10-30T12:53:00Z</dcterms:created>
  <dcterms:modified xsi:type="dcterms:W3CDTF">2014-07-14T19:58:00Z</dcterms:modified>
</cp:coreProperties>
</file>